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4E8F0" w14:textId="77777777" w:rsidR="00A51048" w:rsidRPr="00F21AE2" w:rsidRDefault="008A160C" w:rsidP="004453CE">
      <w:pPr>
        <w:pStyle w:val="Binhthng1"/>
        <w:pBdr>
          <w:top w:val="nil"/>
          <w:left w:val="nil"/>
          <w:bottom w:val="nil"/>
          <w:right w:val="nil"/>
          <w:between w:val="nil"/>
        </w:pBdr>
        <w:shd w:val="clear" w:color="auto" w:fill="FFFFFF"/>
        <w:jc w:val="center"/>
        <w:rPr>
          <w:sz w:val="28"/>
          <w:szCs w:val="28"/>
        </w:rPr>
      </w:pPr>
      <w:r w:rsidRPr="00F21AE2">
        <w:rPr>
          <w:b/>
          <w:sz w:val="28"/>
          <w:szCs w:val="28"/>
        </w:rPr>
        <w:t>BẢN THUYẾT MINH</w:t>
      </w:r>
    </w:p>
    <w:p w14:paraId="1A68FCDB" w14:textId="77777777" w:rsidR="00A51048" w:rsidRPr="00F21AE2" w:rsidRDefault="008A160C" w:rsidP="004453CE">
      <w:pPr>
        <w:pStyle w:val="Binhthng1"/>
        <w:pBdr>
          <w:top w:val="nil"/>
          <w:left w:val="nil"/>
          <w:bottom w:val="nil"/>
          <w:right w:val="nil"/>
          <w:between w:val="nil"/>
        </w:pBdr>
        <w:shd w:val="clear" w:color="auto" w:fill="FFFFFF"/>
        <w:jc w:val="center"/>
        <w:rPr>
          <w:sz w:val="28"/>
          <w:szCs w:val="28"/>
        </w:rPr>
      </w:pPr>
      <w:r w:rsidRPr="00F21AE2">
        <w:rPr>
          <w:b/>
          <w:sz w:val="28"/>
          <w:szCs w:val="28"/>
        </w:rPr>
        <w:t>Các khoản thu, mức thu dịch vụ phục vụ, hỗ trợ hoạt động giáo dục ngoài học phí của các cơ sở giáo dục công lập trên địa bàn tỉnh Bến Tre</w:t>
      </w:r>
    </w:p>
    <w:p w14:paraId="48B923D7" w14:textId="77777777" w:rsidR="007B5276" w:rsidRPr="00F21AE2" w:rsidRDefault="00706560" w:rsidP="004453CE">
      <w:pPr>
        <w:pStyle w:val="Binhthng1"/>
        <w:pBdr>
          <w:top w:val="nil"/>
          <w:left w:val="nil"/>
          <w:bottom w:val="nil"/>
          <w:right w:val="nil"/>
          <w:between w:val="nil"/>
        </w:pBdr>
        <w:shd w:val="clear" w:color="auto" w:fill="FFFFFF"/>
        <w:jc w:val="center"/>
        <w:rPr>
          <w:i/>
          <w:sz w:val="28"/>
          <w:szCs w:val="28"/>
        </w:rPr>
      </w:pPr>
      <w:r w:rsidRPr="00F21AE2">
        <w:rPr>
          <w:i/>
          <w:noProof/>
          <w:sz w:val="28"/>
          <w:szCs w:val="28"/>
        </w:rPr>
        <mc:AlternateContent>
          <mc:Choice Requires="wps">
            <w:drawing>
              <wp:anchor distT="0" distB="0" distL="114300" distR="114300" simplePos="0" relativeHeight="251658240" behindDoc="0" locked="0" layoutInCell="1" hidden="0" allowOverlap="1" wp14:anchorId="7D824CA1" wp14:editId="0AC2BF2B">
                <wp:simplePos x="0" y="0"/>
                <wp:positionH relativeFrom="column">
                  <wp:posOffset>2273300</wp:posOffset>
                </wp:positionH>
                <wp:positionV relativeFrom="paragraph">
                  <wp:posOffset>50800</wp:posOffset>
                </wp:positionV>
                <wp:extent cx="0" cy="12700"/>
                <wp:effectExtent l="0" t="0" r="0" b="0"/>
                <wp:wrapNone/>
                <wp:docPr id="1" name="Đường kết nối Mũi tên Thẳng 1"/>
                <wp:cNvGraphicFramePr/>
                <a:graphic xmlns:a="http://schemas.openxmlformats.org/drawingml/2006/main">
                  <a:graphicData uri="http://schemas.microsoft.com/office/word/2010/wordprocessingShape">
                    <wps:wsp>
                      <wps:cNvCnPr/>
                      <wps:spPr>
                        <a:xfrm>
                          <a:off x="4669725" y="3780000"/>
                          <a:ext cx="13525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D993134" id="_x0000_t32" coordsize="21600,21600" o:spt="32" o:oned="t" path="m,l21600,21600e" filled="f">
                <v:path arrowok="t" fillok="f" o:connecttype="none"/>
                <o:lock v:ext="edit" shapetype="t"/>
              </v:shapetype>
              <v:shape id="Đường kết nối Mũi tên Thẳng 1" o:spid="_x0000_s1026" type="#_x0000_t32" style="position:absolute;margin-left:179pt;margin-top:4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" filled="t">
                <v:stroke joinstyle="miter"/>
              </v:shape>
            </w:pict>
          </mc:Fallback>
        </mc:AlternateContent>
      </w:r>
      <w:r w:rsidR="008A160C" w:rsidRPr="00F21AE2">
        <w:rPr>
          <w:i/>
          <w:sz w:val="28"/>
          <w:szCs w:val="28"/>
        </w:rPr>
        <w:t>(</w:t>
      </w:r>
      <w:r w:rsidR="007B5276" w:rsidRPr="00F21AE2">
        <w:rPr>
          <w:i/>
          <w:sz w:val="28"/>
          <w:szCs w:val="28"/>
        </w:rPr>
        <w:t xml:space="preserve">Kèm theo Tờ trình số:       /TTr-UBND ngày     tháng      năm 2025 của </w:t>
      </w:r>
    </w:p>
    <w:p w14:paraId="01A0D77C" w14:textId="77777777" w:rsidR="00A51048" w:rsidRPr="00F21AE2" w:rsidRDefault="007B5276" w:rsidP="004453CE">
      <w:pPr>
        <w:pStyle w:val="Binhthng1"/>
        <w:pBdr>
          <w:top w:val="nil"/>
          <w:left w:val="nil"/>
          <w:bottom w:val="nil"/>
          <w:right w:val="nil"/>
          <w:between w:val="nil"/>
        </w:pBdr>
        <w:shd w:val="clear" w:color="auto" w:fill="FFFFFF"/>
        <w:jc w:val="center"/>
        <w:rPr>
          <w:i/>
          <w:sz w:val="28"/>
          <w:szCs w:val="28"/>
        </w:rPr>
      </w:pPr>
      <w:r w:rsidRPr="00F21AE2">
        <w:rPr>
          <w:i/>
          <w:sz w:val="28"/>
          <w:szCs w:val="28"/>
        </w:rPr>
        <w:t>Ủy ban nhân dân tỉnh Bến Tre)</w:t>
      </w:r>
    </w:p>
    <w:p w14:paraId="12776480" w14:textId="77777777" w:rsidR="007B5276" w:rsidRPr="00F21AE2" w:rsidRDefault="007B5276" w:rsidP="004453CE">
      <w:pPr>
        <w:pStyle w:val="Binhthng1"/>
        <w:pBdr>
          <w:top w:val="nil"/>
          <w:left w:val="nil"/>
          <w:bottom w:val="nil"/>
          <w:right w:val="nil"/>
          <w:between w:val="nil"/>
        </w:pBdr>
        <w:shd w:val="clear" w:color="auto" w:fill="FFFFFF"/>
        <w:spacing w:before="120" w:after="120"/>
        <w:jc w:val="center"/>
        <w:rPr>
          <w:sz w:val="28"/>
          <w:szCs w:val="28"/>
        </w:rPr>
      </w:pPr>
    </w:p>
    <w:p w14:paraId="091E15F5" w14:textId="24130C36" w:rsidR="00D705CA" w:rsidRDefault="008A160C" w:rsidP="004453CE">
      <w:pPr>
        <w:pStyle w:val="Binhthng1"/>
        <w:pBdr>
          <w:top w:val="nil"/>
          <w:left w:val="nil"/>
          <w:bottom w:val="nil"/>
          <w:right w:val="nil"/>
          <w:between w:val="nil"/>
        </w:pBdr>
        <w:shd w:val="clear" w:color="auto" w:fill="FFFFFF"/>
        <w:spacing w:before="120" w:after="120"/>
        <w:jc w:val="both"/>
        <w:rPr>
          <w:b/>
          <w:sz w:val="28"/>
          <w:szCs w:val="28"/>
        </w:rPr>
      </w:pPr>
      <w:r w:rsidRPr="00F21AE2">
        <w:rPr>
          <w:b/>
          <w:sz w:val="28"/>
          <w:szCs w:val="28"/>
        </w:rPr>
        <w:tab/>
      </w:r>
      <w:r w:rsidR="00D705CA">
        <w:rPr>
          <w:b/>
          <w:sz w:val="28"/>
          <w:szCs w:val="28"/>
        </w:rPr>
        <w:t>I. THUYẾT MINH VỀ DANH MỤC CÁC KHOẢN THU, MỨC THU TRONG DỰ THẢO NGHỊ QUYẾT</w:t>
      </w:r>
    </w:p>
    <w:p w14:paraId="09573BAD" w14:textId="1BDF7FED" w:rsidR="00A51048" w:rsidRPr="00F21AE2" w:rsidRDefault="00D705CA" w:rsidP="00D705CA">
      <w:pPr>
        <w:pStyle w:val="Binhthng1"/>
        <w:pBdr>
          <w:top w:val="nil"/>
          <w:left w:val="nil"/>
          <w:bottom w:val="nil"/>
          <w:right w:val="nil"/>
          <w:between w:val="nil"/>
        </w:pBdr>
        <w:shd w:val="clear" w:color="auto" w:fill="FFFFFF"/>
        <w:spacing w:before="120" w:after="120"/>
        <w:ind w:firstLine="720"/>
        <w:jc w:val="both"/>
        <w:rPr>
          <w:sz w:val="28"/>
          <w:szCs w:val="28"/>
        </w:rPr>
      </w:pPr>
      <w:r>
        <w:rPr>
          <w:b/>
          <w:sz w:val="28"/>
          <w:szCs w:val="28"/>
        </w:rPr>
        <w:t>1</w:t>
      </w:r>
      <w:r w:rsidR="008A160C" w:rsidRPr="00F21AE2">
        <w:rPr>
          <w:b/>
          <w:sz w:val="28"/>
          <w:szCs w:val="28"/>
        </w:rPr>
        <w:t>. D</w:t>
      </w:r>
      <w:r w:rsidRPr="00F21AE2">
        <w:rPr>
          <w:b/>
          <w:sz w:val="28"/>
          <w:szCs w:val="28"/>
        </w:rPr>
        <w:t xml:space="preserve">ịch vụ </w:t>
      </w:r>
      <w:r>
        <w:rPr>
          <w:b/>
          <w:sz w:val="28"/>
          <w:szCs w:val="28"/>
        </w:rPr>
        <w:t xml:space="preserve">phục vụ </w:t>
      </w:r>
      <w:r w:rsidRPr="00F21AE2">
        <w:rPr>
          <w:b/>
          <w:sz w:val="28"/>
          <w:szCs w:val="28"/>
        </w:rPr>
        <w:t>tổ chức bán trú</w:t>
      </w:r>
    </w:p>
    <w:p w14:paraId="72990B2A" w14:textId="2FBC0577" w:rsidR="00A51048" w:rsidRPr="00F21AE2" w:rsidRDefault="008A160C" w:rsidP="004453CE">
      <w:pPr>
        <w:pStyle w:val="Binhthng1"/>
        <w:pBdr>
          <w:top w:val="nil"/>
          <w:left w:val="nil"/>
          <w:bottom w:val="nil"/>
          <w:right w:val="nil"/>
          <w:between w:val="nil"/>
        </w:pBdr>
        <w:shd w:val="clear" w:color="auto" w:fill="FFFFFF"/>
        <w:spacing w:before="120" w:after="120"/>
        <w:jc w:val="both"/>
        <w:rPr>
          <w:sz w:val="28"/>
          <w:szCs w:val="28"/>
        </w:rPr>
      </w:pPr>
      <w:r w:rsidRPr="00F21AE2">
        <w:rPr>
          <w:b/>
          <w:sz w:val="28"/>
          <w:szCs w:val="28"/>
        </w:rPr>
        <w:tab/>
      </w:r>
      <w:r w:rsidRPr="00F21AE2">
        <w:rPr>
          <w:sz w:val="28"/>
          <w:szCs w:val="28"/>
        </w:rPr>
        <w:t>Gộp các khoản thu 1.2. Thu chi hỗ trợ trực trưa, 1.3. Thu chi hỗ trợ nhân viên Kế toán đối với trường có tổ chức bán trú, 1.4. Thu phụ phí, 1.5. Làm thêm giờ cho cán bộ quản</w:t>
      </w:r>
      <w:r w:rsidR="00467BD1" w:rsidRPr="00F21AE2">
        <w:rPr>
          <w:sz w:val="28"/>
          <w:szCs w:val="28"/>
        </w:rPr>
        <w:t xml:space="preserve"> lý, nhân viên phục vụ bán trú</w:t>
      </w:r>
      <w:r w:rsidRPr="00F21AE2">
        <w:rPr>
          <w:sz w:val="28"/>
          <w:szCs w:val="28"/>
        </w:rPr>
        <w:t xml:space="preserve"> và chỉnh sửa thành “Dịch vụ </w:t>
      </w:r>
      <w:r w:rsidR="00467BD1" w:rsidRPr="00F21AE2">
        <w:rPr>
          <w:sz w:val="28"/>
          <w:szCs w:val="28"/>
        </w:rPr>
        <w:t xml:space="preserve">phục vụ </w:t>
      </w:r>
      <w:r w:rsidRPr="00F21AE2">
        <w:rPr>
          <w:sz w:val="28"/>
          <w:szCs w:val="28"/>
        </w:rPr>
        <w:t>tổ chức bán trú” để đảm bảo phù hợp với quy định.</w:t>
      </w:r>
    </w:p>
    <w:p w14:paraId="744E2C00" w14:textId="66FCEA5D" w:rsidR="00A51048" w:rsidRPr="00F21AE2" w:rsidRDefault="008A160C" w:rsidP="004453CE">
      <w:pPr>
        <w:pStyle w:val="Binhthng1"/>
        <w:pBdr>
          <w:top w:val="nil"/>
          <w:left w:val="nil"/>
          <w:bottom w:val="nil"/>
          <w:right w:val="nil"/>
          <w:between w:val="nil"/>
        </w:pBdr>
        <w:shd w:val="clear" w:color="auto" w:fill="FFFFFF"/>
        <w:spacing w:before="120" w:after="120"/>
        <w:jc w:val="both"/>
        <w:rPr>
          <w:sz w:val="28"/>
          <w:szCs w:val="28"/>
        </w:rPr>
      </w:pPr>
      <w:r w:rsidRPr="00F21AE2">
        <w:rPr>
          <w:sz w:val="28"/>
          <w:szCs w:val="28"/>
        </w:rPr>
        <w:tab/>
        <w:t xml:space="preserve">* Lý do đề xuất: các nội dung quy định trên đều phục vụ cho hoạt động tổ chức bán trú. Để tổ chức bán trú cần phải có </w:t>
      </w:r>
      <w:r w:rsidR="004453CE" w:rsidRPr="00F21AE2">
        <w:rPr>
          <w:sz w:val="28"/>
          <w:szCs w:val="28"/>
        </w:rPr>
        <w:t xml:space="preserve">quản lý của giáo viên, nhân viên, cán bộ quản lý của nhà trường để đảm bảo an toàn cho trẻ. </w:t>
      </w:r>
    </w:p>
    <w:p w14:paraId="75FAE712" w14:textId="77777777" w:rsidR="00A51048" w:rsidRPr="00F21AE2" w:rsidRDefault="008A160C" w:rsidP="004453CE">
      <w:pPr>
        <w:pStyle w:val="Binhthng1"/>
        <w:pBdr>
          <w:top w:val="nil"/>
          <w:left w:val="nil"/>
          <w:bottom w:val="nil"/>
          <w:right w:val="nil"/>
          <w:between w:val="nil"/>
        </w:pBdr>
        <w:shd w:val="clear" w:color="auto" w:fill="FFFFFF"/>
        <w:spacing w:before="120" w:after="120"/>
        <w:jc w:val="both"/>
        <w:rPr>
          <w:sz w:val="28"/>
          <w:szCs w:val="28"/>
        </w:rPr>
      </w:pPr>
      <w:r w:rsidRPr="00F21AE2">
        <w:rPr>
          <w:sz w:val="28"/>
          <w:szCs w:val="28"/>
        </w:rPr>
        <w:tab/>
        <w:t>Khoản 2 Điều 5 Nghị định số 81/2021/NĐ-CP</w:t>
      </w:r>
      <w:r w:rsidR="002F650A" w:rsidRPr="00F21AE2">
        <w:rPr>
          <w:rStyle w:val="FootnoteReference"/>
          <w:sz w:val="28"/>
          <w:szCs w:val="28"/>
        </w:rPr>
        <w:footnoteReference w:id="1"/>
      </w:r>
      <w:r w:rsidRPr="00F21AE2">
        <w:rPr>
          <w:sz w:val="28"/>
          <w:szCs w:val="28"/>
        </w:rPr>
        <w:t xml:space="preserve"> quy định nguyên tắc xác định giá dịch vụ trong lĩnh vực giáo dục đào tạo: “</w:t>
      </w:r>
      <w:r w:rsidRPr="00F21AE2">
        <w:rPr>
          <w:i/>
          <w:sz w:val="28"/>
          <w:szCs w:val="28"/>
        </w:rPr>
        <w:t>Giá dịch vụ trong lĩnh vực giáo dục, đào tạo được điều chỉnh theo lộ trình phù hợp tương xứng với chất lượng dịch vụ giáo dục, đào tạo nhưng tỷ lệ tăng mức giá dịch vụ không quá 15%/năm</w:t>
      </w:r>
      <w:r w:rsidRPr="00F21AE2">
        <w:rPr>
          <w:sz w:val="28"/>
          <w:szCs w:val="28"/>
        </w:rPr>
        <w:t xml:space="preserve">”. Qua rà soát tốc độ tăng chỉ số giá tiêu dùng 03 năm của tỉnh </w:t>
      </w:r>
      <w:r w:rsidR="008E5453" w:rsidRPr="00F21AE2">
        <w:rPr>
          <w:sz w:val="28"/>
          <w:szCs w:val="28"/>
        </w:rPr>
        <w:t>(CPI) (</w:t>
      </w:r>
      <w:r w:rsidRPr="00F21AE2">
        <w:rPr>
          <w:sz w:val="28"/>
          <w:szCs w:val="28"/>
        </w:rPr>
        <w:t>từ năm 2022 – 2024</w:t>
      </w:r>
      <w:r w:rsidR="008E5453" w:rsidRPr="00F21AE2">
        <w:rPr>
          <w:sz w:val="28"/>
          <w:szCs w:val="28"/>
        </w:rPr>
        <w:t>)</w:t>
      </w:r>
      <w:r w:rsidRPr="00F21AE2">
        <w:rPr>
          <w:sz w:val="28"/>
          <w:szCs w:val="28"/>
        </w:rPr>
        <w:t>, cụ thể: năm 2022 là 2,84%</w:t>
      </w:r>
      <w:r w:rsidR="00F6052B" w:rsidRPr="00F21AE2">
        <w:rPr>
          <w:rStyle w:val="FootnoteReference"/>
          <w:sz w:val="28"/>
          <w:szCs w:val="28"/>
        </w:rPr>
        <w:footnoteReference w:id="2"/>
      </w:r>
      <w:r w:rsidRPr="00F21AE2">
        <w:rPr>
          <w:sz w:val="28"/>
          <w:szCs w:val="28"/>
        </w:rPr>
        <w:t>, năm 2023 tăng 2,6%</w:t>
      </w:r>
      <w:r w:rsidR="00F6052B" w:rsidRPr="00F21AE2">
        <w:rPr>
          <w:rStyle w:val="FootnoteReference"/>
          <w:sz w:val="28"/>
          <w:szCs w:val="28"/>
        </w:rPr>
        <w:footnoteReference w:id="3"/>
      </w:r>
      <w:r w:rsidRPr="00F21AE2">
        <w:rPr>
          <w:sz w:val="28"/>
          <w:szCs w:val="28"/>
        </w:rPr>
        <w:t>, 06 tháng đầu năm 2024</w:t>
      </w:r>
      <w:r w:rsidR="00F6052B" w:rsidRPr="00F21AE2">
        <w:rPr>
          <w:rStyle w:val="FootnoteReference"/>
          <w:sz w:val="28"/>
          <w:szCs w:val="28"/>
        </w:rPr>
        <w:footnoteReference w:id="4"/>
      </w:r>
      <w:r w:rsidRPr="00F21AE2">
        <w:rPr>
          <w:sz w:val="28"/>
          <w:szCs w:val="28"/>
        </w:rPr>
        <w:t xml:space="preserve"> tăng 4,27%. Để giảm bớt gánh nặng cho cha mẹ học sinh và cũng đảm bảo các cơ sở giáo dục công lập bảo đảm các khoản chi kinh phí để thực hiện, Sở Giáo dục và Đào tạo lấy chỉ số giá tiêu dùng năm 2022 để điều chỉnh tăng mức thu.</w:t>
      </w:r>
    </w:p>
    <w:p w14:paraId="357F8D1C" w14:textId="77777777" w:rsidR="00A51048" w:rsidRPr="00F21AE2" w:rsidRDefault="008A160C" w:rsidP="004453CE">
      <w:pPr>
        <w:pStyle w:val="Binhthng1"/>
        <w:pBdr>
          <w:top w:val="nil"/>
          <w:left w:val="nil"/>
          <w:bottom w:val="nil"/>
          <w:right w:val="nil"/>
          <w:between w:val="nil"/>
        </w:pBdr>
        <w:shd w:val="clear" w:color="auto" w:fill="FFFFFF"/>
        <w:spacing w:before="120" w:after="120"/>
        <w:jc w:val="both"/>
        <w:rPr>
          <w:sz w:val="28"/>
          <w:szCs w:val="28"/>
        </w:rPr>
      </w:pPr>
      <w:r w:rsidRPr="00F21AE2">
        <w:rPr>
          <w:sz w:val="28"/>
          <w:szCs w:val="28"/>
        </w:rPr>
        <w:tab/>
        <w:t xml:space="preserve">* Về mức thu: </w:t>
      </w:r>
    </w:p>
    <w:p w14:paraId="7955307A" w14:textId="683B6716" w:rsidR="00A51048" w:rsidRPr="00F21AE2" w:rsidRDefault="008A160C" w:rsidP="004453CE">
      <w:pPr>
        <w:pStyle w:val="Binhthng1"/>
        <w:pBdr>
          <w:top w:val="nil"/>
          <w:left w:val="nil"/>
          <w:bottom w:val="nil"/>
          <w:right w:val="nil"/>
          <w:between w:val="nil"/>
        </w:pBdr>
        <w:shd w:val="clear" w:color="auto" w:fill="FFFFFF"/>
        <w:spacing w:before="120" w:after="120"/>
        <w:jc w:val="both"/>
        <w:rPr>
          <w:sz w:val="28"/>
          <w:szCs w:val="28"/>
        </w:rPr>
      </w:pPr>
      <w:r w:rsidRPr="00F21AE2">
        <w:rPr>
          <w:sz w:val="28"/>
          <w:szCs w:val="28"/>
        </w:rPr>
        <w:tab/>
      </w:r>
      <w:r w:rsidRPr="00F21AE2">
        <w:rPr>
          <w:b/>
          <w:i/>
          <w:sz w:val="28"/>
          <w:szCs w:val="28"/>
        </w:rPr>
        <w:t>1.</w:t>
      </w:r>
      <w:r w:rsidR="00D705CA">
        <w:rPr>
          <w:b/>
          <w:i/>
          <w:sz w:val="28"/>
          <w:szCs w:val="28"/>
        </w:rPr>
        <w:t>1.</w:t>
      </w:r>
      <w:r w:rsidRPr="00F21AE2">
        <w:rPr>
          <w:b/>
          <w:i/>
          <w:sz w:val="28"/>
          <w:szCs w:val="28"/>
        </w:rPr>
        <w:t xml:space="preserve"> Đối với </w:t>
      </w:r>
      <w:r w:rsidR="00467BD1" w:rsidRPr="00F21AE2">
        <w:rPr>
          <w:b/>
          <w:i/>
          <w:sz w:val="28"/>
          <w:szCs w:val="28"/>
        </w:rPr>
        <w:t>mầm non: 84</w:t>
      </w:r>
      <w:r w:rsidRPr="00F21AE2">
        <w:rPr>
          <w:b/>
          <w:i/>
          <w:sz w:val="28"/>
          <w:szCs w:val="28"/>
        </w:rPr>
        <w:t>.000 đồng/tháng/người học</w:t>
      </w:r>
      <w:r w:rsidRPr="00F21AE2">
        <w:rPr>
          <w:sz w:val="28"/>
          <w:szCs w:val="28"/>
        </w:rPr>
        <w:t>, bao gồm:</w:t>
      </w:r>
    </w:p>
    <w:p w14:paraId="5431B932" w14:textId="77777777" w:rsidR="00A51048" w:rsidRPr="00F21AE2" w:rsidRDefault="008A160C" w:rsidP="004453CE">
      <w:pPr>
        <w:pStyle w:val="Binhthng1"/>
        <w:pBdr>
          <w:top w:val="nil"/>
          <w:left w:val="nil"/>
          <w:bottom w:val="nil"/>
          <w:right w:val="nil"/>
          <w:between w:val="nil"/>
        </w:pBdr>
        <w:shd w:val="clear" w:color="auto" w:fill="FFFFFF"/>
        <w:spacing w:before="120" w:after="120"/>
        <w:jc w:val="both"/>
        <w:rPr>
          <w:sz w:val="28"/>
          <w:szCs w:val="28"/>
        </w:rPr>
      </w:pPr>
      <w:r w:rsidRPr="00F21AE2">
        <w:rPr>
          <w:sz w:val="28"/>
          <w:szCs w:val="28"/>
        </w:rPr>
        <w:tab/>
        <w:t>- Chi trả cho dịch vụ trông giữ trẻ buổi trưa (gộp mục 1.2, 1.3 phụ lục kèm theo Nghị quyết s</w:t>
      </w:r>
      <w:r w:rsidR="00715651" w:rsidRPr="00F21AE2">
        <w:rPr>
          <w:sz w:val="28"/>
          <w:szCs w:val="28"/>
        </w:rPr>
        <w:t>ố 24/2021/NQ-HĐND). Điều chỉnh mức thu phù hợp, cụ thể như sau:</w:t>
      </w:r>
    </w:p>
    <w:p w14:paraId="129A9D31" w14:textId="77777777" w:rsidR="00715651" w:rsidRPr="00F21AE2" w:rsidRDefault="00AA6C54" w:rsidP="00C34C2D">
      <w:pPr>
        <w:pStyle w:val="Binhthng1"/>
        <w:spacing w:before="120" w:after="120"/>
        <w:ind w:firstLine="720"/>
        <w:jc w:val="both"/>
        <w:rPr>
          <w:sz w:val="28"/>
          <w:szCs w:val="28"/>
        </w:rPr>
      </w:pPr>
      <w:r w:rsidRPr="00F21AE2">
        <w:rPr>
          <w:sz w:val="28"/>
          <w:szCs w:val="28"/>
        </w:rPr>
        <w:t>Tiền lương làm thêm giờ của giáo viên mầm non = tiền lương bình quân/người của một tháng khoảng 7.800.000 đồng</w:t>
      </w:r>
      <w:r w:rsidRPr="00F21AE2">
        <w:rPr>
          <w:sz w:val="28"/>
          <w:szCs w:val="28"/>
          <w:vertAlign w:val="superscript"/>
        </w:rPr>
        <w:footnoteReference w:id="5"/>
      </w:r>
      <w:r w:rsidRPr="00F21AE2">
        <w:rPr>
          <w:sz w:val="28"/>
          <w:szCs w:val="28"/>
        </w:rPr>
        <w:t>/22 ngày làm việc/</w:t>
      </w:r>
      <w:r w:rsidR="00653911" w:rsidRPr="00F21AE2">
        <w:rPr>
          <w:sz w:val="28"/>
          <w:szCs w:val="28"/>
        </w:rPr>
        <w:t>8</w:t>
      </w:r>
      <w:r w:rsidRPr="00F21AE2">
        <w:rPr>
          <w:sz w:val="28"/>
          <w:szCs w:val="28"/>
        </w:rPr>
        <w:t xml:space="preserve"> giờ * 150% (theo quy định đối với làm việc thêm giờ</w:t>
      </w:r>
      <w:r w:rsidR="0089115E" w:rsidRPr="00F21AE2">
        <w:rPr>
          <w:sz w:val="28"/>
          <w:szCs w:val="28"/>
        </w:rPr>
        <w:t xml:space="preserve"> vào ngày làm việc bình thường</w:t>
      </w:r>
      <w:r w:rsidRPr="00F21AE2">
        <w:rPr>
          <w:sz w:val="28"/>
          <w:szCs w:val="28"/>
        </w:rPr>
        <w:t>)</w:t>
      </w:r>
      <w:r w:rsidRPr="00F21AE2">
        <w:rPr>
          <w:sz w:val="28"/>
          <w:szCs w:val="28"/>
          <w:vertAlign w:val="superscript"/>
        </w:rPr>
        <w:footnoteReference w:id="6"/>
      </w:r>
      <w:r w:rsidRPr="00F21AE2">
        <w:rPr>
          <w:sz w:val="28"/>
          <w:szCs w:val="28"/>
        </w:rPr>
        <w:t xml:space="preserve"> = </w:t>
      </w:r>
      <w:r w:rsidR="00653911" w:rsidRPr="00F21AE2">
        <w:rPr>
          <w:sz w:val="28"/>
          <w:szCs w:val="28"/>
        </w:rPr>
        <w:lastRenderedPageBreak/>
        <w:t>66.500</w:t>
      </w:r>
      <w:r w:rsidRPr="00F21AE2">
        <w:rPr>
          <w:sz w:val="28"/>
          <w:szCs w:val="28"/>
        </w:rPr>
        <w:t xml:space="preserve"> đồng/người/giờ. Chi phí</w:t>
      </w:r>
      <w:r w:rsidR="00C34C2D" w:rsidRPr="00F21AE2">
        <w:rPr>
          <w:sz w:val="28"/>
          <w:szCs w:val="28"/>
        </w:rPr>
        <w:t xml:space="preserve"> cho giáo viên trực trưa = (66.500 đồng/người/giờ* 2 giờ/ngày)/35 trẻ = 3.800 đồng/trẻ/ngày * 22 ngày/tháng = 83.600 đồng/trẻ/tháng (làm tròn 84.000 đồng).</w:t>
      </w:r>
    </w:p>
    <w:p w14:paraId="7F215EC4" w14:textId="49EE957A" w:rsidR="00A51048" w:rsidRPr="00F21AE2" w:rsidRDefault="008A160C" w:rsidP="00467BD1">
      <w:pPr>
        <w:pStyle w:val="Binhthng1"/>
        <w:pBdr>
          <w:top w:val="nil"/>
          <w:left w:val="nil"/>
          <w:bottom w:val="nil"/>
          <w:right w:val="nil"/>
          <w:between w:val="nil"/>
        </w:pBdr>
        <w:shd w:val="clear" w:color="auto" w:fill="FFFFFF"/>
        <w:spacing w:before="120" w:after="120"/>
        <w:jc w:val="both"/>
        <w:rPr>
          <w:sz w:val="28"/>
          <w:szCs w:val="28"/>
        </w:rPr>
      </w:pPr>
      <w:r w:rsidRPr="00F21AE2">
        <w:rPr>
          <w:sz w:val="28"/>
          <w:szCs w:val="28"/>
        </w:rPr>
        <w:tab/>
        <w:t xml:space="preserve"> </w:t>
      </w:r>
      <w:r w:rsidR="00D705CA" w:rsidRPr="00D705CA">
        <w:rPr>
          <w:b/>
          <w:i/>
          <w:sz w:val="28"/>
          <w:szCs w:val="28"/>
        </w:rPr>
        <w:t>1.</w:t>
      </w:r>
      <w:r w:rsidR="00467BD1" w:rsidRPr="00F21AE2">
        <w:rPr>
          <w:b/>
          <w:i/>
          <w:sz w:val="28"/>
          <w:szCs w:val="28"/>
        </w:rPr>
        <w:t>2</w:t>
      </w:r>
      <w:r w:rsidRPr="00F21AE2">
        <w:rPr>
          <w:b/>
          <w:i/>
          <w:sz w:val="28"/>
          <w:szCs w:val="28"/>
        </w:rPr>
        <w:t xml:space="preserve">. Đối với tiểu học: </w:t>
      </w:r>
      <w:r w:rsidR="0037642F" w:rsidRPr="00F21AE2">
        <w:rPr>
          <w:b/>
          <w:i/>
          <w:sz w:val="28"/>
          <w:szCs w:val="28"/>
        </w:rPr>
        <w:t>90</w:t>
      </w:r>
      <w:r w:rsidRPr="00F21AE2">
        <w:rPr>
          <w:b/>
          <w:i/>
          <w:sz w:val="28"/>
          <w:szCs w:val="28"/>
        </w:rPr>
        <w:t>.000 đồng/học sinh/tháng</w:t>
      </w:r>
      <w:r w:rsidRPr="00F21AE2">
        <w:rPr>
          <w:sz w:val="28"/>
          <w:szCs w:val="28"/>
        </w:rPr>
        <w:t>.</w:t>
      </w:r>
    </w:p>
    <w:p w14:paraId="3E3D7EAA" w14:textId="0C364FA9" w:rsidR="003B2A99" w:rsidRDefault="003B2A99" w:rsidP="003B2A99">
      <w:pPr>
        <w:pStyle w:val="Binhthng1"/>
        <w:spacing w:before="120" w:after="120"/>
        <w:ind w:firstLine="720"/>
        <w:jc w:val="both"/>
        <w:rPr>
          <w:sz w:val="28"/>
          <w:szCs w:val="28"/>
        </w:rPr>
      </w:pPr>
      <w:r w:rsidRPr="00F21AE2">
        <w:rPr>
          <w:sz w:val="28"/>
          <w:szCs w:val="28"/>
        </w:rPr>
        <w:t xml:space="preserve">Tiền lương làm thêm giờ của giáo viên = tiền lương bình quân/người của một tháng khoảng </w:t>
      </w:r>
      <w:r w:rsidR="0037642F" w:rsidRPr="00F21AE2">
        <w:rPr>
          <w:sz w:val="28"/>
          <w:szCs w:val="28"/>
        </w:rPr>
        <w:t>8.564</w:t>
      </w:r>
      <w:r w:rsidRPr="00F21AE2">
        <w:rPr>
          <w:sz w:val="28"/>
          <w:szCs w:val="28"/>
        </w:rPr>
        <w:t xml:space="preserve">.000 đồng/22 ngày làm việc/8 giờ * 150% (theo quy định đối với làm việc thêm giờ vào ngày làm việc bình thường) = </w:t>
      </w:r>
      <w:r w:rsidR="0037642F" w:rsidRPr="00F21AE2">
        <w:rPr>
          <w:sz w:val="28"/>
          <w:szCs w:val="28"/>
        </w:rPr>
        <w:t>73.000</w:t>
      </w:r>
      <w:r w:rsidRPr="00F21AE2">
        <w:rPr>
          <w:sz w:val="28"/>
          <w:szCs w:val="28"/>
        </w:rPr>
        <w:t xml:space="preserve"> đồng/người/giờ. Chi phí cho giáo viên trực trưa = (</w:t>
      </w:r>
      <w:r w:rsidR="0037642F" w:rsidRPr="00F21AE2">
        <w:rPr>
          <w:sz w:val="28"/>
          <w:szCs w:val="28"/>
        </w:rPr>
        <w:t>73.0</w:t>
      </w:r>
      <w:r w:rsidRPr="00F21AE2">
        <w:rPr>
          <w:sz w:val="28"/>
          <w:szCs w:val="28"/>
        </w:rPr>
        <w:t xml:space="preserve">00 đồng/người/giờ* 2 giờ/ngày)/35 trẻ = </w:t>
      </w:r>
      <w:r w:rsidR="0037642F" w:rsidRPr="00F21AE2">
        <w:rPr>
          <w:sz w:val="28"/>
          <w:szCs w:val="28"/>
        </w:rPr>
        <w:t>4.1</w:t>
      </w:r>
      <w:r w:rsidRPr="00F21AE2">
        <w:rPr>
          <w:sz w:val="28"/>
          <w:szCs w:val="28"/>
        </w:rPr>
        <w:t xml:space="preserve">00 đồng/trẻ/ngày * 22 ngày/tháng = </w:t>
      </w:r>
      <w:r w:rsidR="0037642F" w:rsidRPr="00F21AE2">
        <w:rPr>
          <w:sz w:val="28"/>
          <w:szCs w:val="28"/>
        </w:rPr>
        <w:t>90.2</w:t>
      </w:r>
      <w:r w:rsidRPr="00F21AE2">
        <w:rPr>
          <w:sz w:val="28"/>
          <w:szCs w:val="28"/>
        </w:rPr>
        <w:t xml:space="preserve">00 đồng/trẻ/tháng (làm tròn </w:t>
      </w:r>
      <w:r w:rsidR="0037642F" w:rsidRPr="00F21AE2">
        <w:rPr>
          <w:sz w:val="28"/>
          <w:szCs w:val="28"/>
        </w:rPr>
        <w:t>90</w:t>
      </w:r>
      <w:r w:rsidRPr="00F21AE2">
        <w:rPr>
          <w:sz w:val="28"/>
          <w:szCs w:val="28"/>
        </w:rPr>
        <w:t>.000 đồng).</w:t>
      </w:r>
    </w:p>
    <w:p w14:paraId="621706A1" w14:textId="101EAA66" w:rsidR="004109FA" w:rsidRPr="00F0204D" w:rsidRDefault="00D705CA" w:rsidP="003B2A99">
      <w:pPr>
        <w:pStyle w:val="Binhthng1"/>
        <w:spacing w:before="120" w:after="120"/>
        <w:ind w:firstLine="720"/>
        <w:jc w:val="both"/>
        <w:rPr>
          <w:b/>
          <w:sz w:val="28"/>
          <w:szCs w:val="28"/>
        </w:rPr>
      </w:pPr>
      <w:r>
        <w:rPr>
          <w:b/>
          <w:sz w:val="28"/>
          <w:szCs w:val="28"/>
        </w:rPr>
        <w:t>2</w:t>
      </w:r>
      <w:r w:rsidRPr="00F0204D">
        <w:rPr>
          <w:b/>
          <w:sz w:val="28"/>
          <w:szCs w:val="28"/>
        </w:rPr>
        <w:t>. Dịch vụ bữa ăn bán trú</w:t>
      </w:r>
    </w:p>
    <w:p w14:paraId="487B70D1" w14:textId="57A26BA4" w:rsidR="00F0204D" w:rsidRDefault="005A4868" w:rsidP="003B2A99">
      <w:pPr>
        <w:pStyle w:val="Binhthng1"/>
        <w:spacing w:before="120" w:after="120"/>
        <w:ind w:firstLine="720"/>
        <w:jc w:val="both"/>
        <w:rPr>
          <w:sz w:val="28"/>
          <w:szCs w:val="28"/>
        </w:rPr>
      </w:pPr>
      <w:r>
        <w:rPr>
          <w:sz w:val="28"/>
          <w:szCs w:val="28"/>
        </w:rPr>
        <w:t xml:space="preserve">- </w:t>
      </w:r>
      <w:r w:rsidR="00F0204D">
        <w:rPr>
          <w:sz w:val="28"/>
          <w:szCs w:val="28"/>
        </w:rPr>
        <w:t>Mục 1 Phần 1 Hướng dẫn công tác tổ chức bữa ăn học đường kết hợp tăng cường hoạt động thể lực cho trẻ em, học sinh trong các cơ sở giáo dục mầm non và tiểu học ban hành kèm theo Quyết định số 2195/QĐ-BGDĐT năm 2022</w:t>
      </w:r>
      <w:r w:rsidR="006B7FAC">
        <w:rPr>
          <w:rStyle w:val="FootnoteReference"/>
          <w:sz w:val="28"/>
          <w:szCs w:val="28"/>
        </w:rPr>
        <w:footnoteReference w:id="7"/>
      </w:r>
      <w:r w:rsidR="00F0204D">
        <w:rPr>
          <w:sz w:val="28"/>
          <w:szCs w:val="28"/>
        </w:rPr>
        <w:t xml:space="preserve"> thì:</w:t>
      </w:r>
      <w:r w:rsidR="0095744A">
        <w:rPr>
          <w:sz w:val="28"/>
          <w:szCs w:val="28"/>
        </w:rPr>
        <w:t xml:space="preserve"> </w:t>
      </w:r>
      <w:r w:rsidR="00F0204D">
        <w:rPr>
          <w:sz w:val="28"/>
          <w:szCs w:val="28"/>
        </w:rPr>
        <w:t>Bữa ăn học đường hay bữa ăn ở trường học là bữa ăn được chuẩn bị để cung cấp năng lượng và các chất dinh dưỡng cho các em học sinh ở trường học. Bữa ăn học đường có thể là bữa ăn sáng, bữa ăn trưa, bữa chiều và các bữa phụ (bữa xế) vào giữa sáng hoặc giữa chiều. Số lượng các bữa ăn học đường thay đổi tùy theo loại hình tổ chức bán trú, nội trú và cấp học. Theo đó, bữa ăn bán trú là bữa ăn học đường.</w:t>
      </w:r>
    </w:p>
    <w:p w14:paraId="70F4E372" w14:textId="3C878579" w:rsidR="005A4868" w:rsidRDefault="005A4868" w:rsidP="003B2A99">
      <w:pPr>
        <w:pStyle w:val="Binhthng1"/>
        <w:spacing w:before="120" w:after="120"/>
        <w:ind w:firstLine="720"/>
        <w:jc w:val="both"/>
        <w:rPr>
          <w:sz w:val="28"/>
          <w:szCs w:val="28"/>
        </w:rPr>
      </w:pPr>
      <w:r>
        <w:rPr>
          <w:sz w:val="28"/>
          <w:szCs w:val="28"/>
        </w:rPr>
        <w:t>- Điều 2 Luật Đấu thầu năm 2023 quy định như sau:</w:t>
      </w:r>
    </w:p>
    <w:p w14:paraId="3618387E" w14:textId="5D9CDE4F" w:rsidR="005A4868" w:rsidRPr="005A4868" w:rsidRDefault="005A4868" w:rsidP="003B2A99">
      <w:pPr>
        <w:pStyle w:val="Binhthng1"/>
        <w:spacing w:before="120" w:after="120"/>
        <w:ind w:firstLine="720"/>
        <w:jc w:val="both"/>
        <w:rPr>
          <w:i/>
          <w:sz w:val="28"/>
          <w:szCs w:val="28"/>
        </w:rPr>
      </w:pPr>
      <w:r w:rsidRPr="005A4868">
        <w:rPr>
          <w:i/>
          <w:sz w:val="28"/>
          <w:szCs w:val="28"/>
        </w:rPr>
        <w:t>“Luật này áp dụng đối với các cơ quan, tổ chức, cá nhân tham gia hoặc có liên quan đến hoạt động đấu thầu bao gồm:</w:t>
      </w:r>
    </w:p>
    <w:p w14:paraId="66095FFA" w14:textId="1EDBD9E7" w:rsidR="005A4868" w:rsidRPr="005A4868" w:rsidRDefault="005A4868" w:rsidP="003B2A99">
      <w:pPr>
        <w:pStyle w:val="Binhthng1"/>
        <w:spacing w:before="120" w:after="120"/>
        <w:ind w:firstLine="720"/>
        <w:jc w:val="both"/>
        <w:rPr>
          <w:i/>
          <w:sz w:val="28"/>
          <w:szCs w:val="28"/>
        </w:rPr>
      </w:pPr>
      <w:r w:rsidRPr="005A4868">
        <w:rPr>
          <w:i/>
          <w:sz w:val="28"/>
          <w:szCs w:val="28"/>
        </w:rPr>
        <w:t>1. Hoạt động lựa chọn nhà thầu có sử dụng vốn ngân sách nhà nước theo quy định của Luật Ngân sách nhà nước, vốn từ nguồn thu hợp pháp theo quy định của pháp luật của các cơ quan nhà nước, đơn vị sự nghiệp công lập để:</w:t>
      </w:r>
    </w:p>
    <w:p w14:paraId="734344F6" w14:textId="22824A1D" w:rsidR="005A4868" w:rsidRPr="005A4868" w:rsidRDefault="005A4868" w:rsidP="003B2A99">
      <w:pPr>
        <w:pStyle w:val="Binhthng1"/>
        <w:spacing w:before="120" w:after="120"/>
        <w:ind w:firstLine="720"/>
        <w:jc w:val="both"/>
        <w:rPr>
          <w:i/>
          <w:sz w:val="28"/>
          <w:szCs w:val="28"/>
        </w:rPr>
      </w:pPr>
      <w:r w:rsidRPr="005A4868">
        <w:rPr>
          <w:i/>
          <w:sz w:val="28"/>
          <w:szCs w:val="28"/>
        </w:rPr>
        <w:t xml:space="preserve">a) Thực hiện dự án đầu tư, dự toán mua sắm của cơ quan nhà nước, tổ chức chính trị, tổ chức chính trị - xã hội, tổ chức chính trị xã hội – nghề nghiệp, tổ chức </w:t>
      </w:r>
      <w:r w:rsidRPr="005A4868">
        <w:rPr>
          <w:i/>
          <w:sz w:val="28"/>
          <w:szCs w:val="28"/>
        </w:rPr>
        <w:lastRenderedPageBreak/>
        <w:t>xã hội – nghề nghiệp, tổ chức xã hội, đơn vị thuộc lực lượng vũ trang nhân dân, đơn vị sự nghiệp công lập và các tổ chức, cá nhân khác;</w:t>
      </w:r>
    </w:p>
    <w:p w14:paraId="7B590E30" w14:textId="1753AE6B" w:rsidR="005A4868" w:rsidRDefault="005A4868" w:rsidP="003B2A99">
      <w:pPr>
        <w:pStyle w:val="Binhthng1"/>
        <w:spacing w:before="120" w:after="120"/>
        <w:ind w:firstLine="720"/>
        <w:jc w:val="both"/>
        <w:rPr>
          <w:i/>
          <w:sz w:val="28"/>
          <w:szCs w:val="28"/>
        </w:rPr>
      </w:pPr>
      <w:r>
        <w:rPr>
          <w:i/>
          <w:sz w:val="28"/>
          <w:szCs w:val="28"/>
        </w:rPr>
        <w:t>b) Cung cấp sản phẩm, dịch vụ công; mua thuốc, hóa chất, vật tư xét nghiệm, thiết bị y tế; mua hàng dự trữ quốc gia, thuê bảo quản hàng dự trữ quốc gia, trừ hoạt động mua trực tiếp rộng rãi của mọi đối tượng theo quy định của pháp luật về dự trữ quốc gia;</w:t>
      </w:r>
    </w:p>
    <w:p w14:paraId="18EB561F" w14:textId="63A9B724" w:rsidR="005A4868" w:rsidRDefault="005A4868" w:rsidP="003B2A99">
      <w:pPr>
        <w:pStyle w:val="Binhthng1"/>
        <w:spacing w:before="120" w:after="120"/>
        <w:ind w:firstLine="720"/>
        <w:jc w:val="both"/>
        <w:rPr>
          <w:i/>
          <w:sz w:val="28"/>
          <w:szCs w:val="28"/>
        </w:rPr>
      </w:pPr>
      <w:r>
        <w:rPr>
          <w:i/>
          <w:sz w:val="28"/>
          <w:szCs w:val="28"/>
        </w:rPr>
        <w:t xml:space="preserve">c) Thực hiện các công việc khác phải tổ chức đấu thầu theo quy </w:t>
      </w:r>
      <w:r w:rsidR="00700C2E">
        <w:rPr>
          <w:i/>
          <w:sz w:val="28"/>
          <w:szCs w:val="28"/>
        </w:rPr>
        <w:t>định của pháp luật có liên quan.”</w:t>
      </w:r>
    </w:p>
    <w:p w14:paraId="00E3C576" w14:textId="28083CAE" w:rsidR="00700C2E" w:rsidRDefault="00700C2E" w:rsidP="003B2A99">
      <w:pPr>
        <w:pStyle w:val="Binhthng1"/>
        <w:spacing w:before="120" w:after="120"/>
        <w:ind w:firstLine="720"/>
        <w:jc w:val="both"/>
        <w:rPr>
          <w:sz w:val="28"/>
          <w:szCs w:val="28"/>
        </w:rPr>
      </w:pPr>
      <w:r>
        <w:rPr>
          <w:sz w:val="28"/>
          <w:szCs w:val="28"/>
        </w:rPr>
        <w:t xml:space="preserve">- </w:t>
      </w:r>
      <w:r w:rsidR="009E45E7">
        <w:rPr>
          <w:sz w:val="28"/>
          <w:szCs w:val="28"/>
        </w:rPr>
        <w:t>Mục V Quyết định số 1660/QĐ-TTg năm 2021 của Thủ tướng Chính phủ phê duyệt Chương trình sức khỏe học đường giai đoạn 2021 – 2025 quy định về kinh phí thực hiện như sau:</w:t>
      </w:r>
    </w:p>
    <w:p w14:paraId="5F0CA2B8" w14:textId="0D086765" w:rsidR="009E45E7" w:rsidRPr="00B81A03" w:rsidRDefault="00A63A07" w:rsidP="003B2A99">
      <w:pPr>
        <w:pStyle w:val="Binhthng1"/>
        <w:spacing w:before="120" w:after="120"/>
        <w:ind w:firstLine="720"/>
        <w:jc w:val="both"/>
        <w:rPr>
          <w:i/>
          <w:sz w:val="28"/>
          <w:szCs w:val="28"/>
        </w:rPr>
      </w:pPr>
      <w:r>
        <w:rPr>
          <w:sz w:val="28"/>
          <w:szCs w:val="28"/>
        </w:rPr>
        <w:t>“</w:t>
      </w:r>
      <w:r w:rsidRPr="00B81A03">
        <w:rPr>
          <w:i/>
          <w:sz w:val="28"/>
          <w:szCs w:val="28"/>
        </w:rPr>
        <w:t xml:space="preserve">1. Kinh phí thực hiện các nhiệm vụ thuộc Chương trình từ nguồn ngân sách nhà nước theo quy định của Luật Ngân sách nhà nước và phù hợp với khả năng cân đối ngân sách nhà nước; </w:t>
      </w:r>
      <w:r w:rsidR="006D7BBB" w:rsidRPr="00B81A03">
        <w:rPr>
          <w:i/>
          <w:sz w:val="28"/>
          <w:szCs w:val="28"/>
        </w:rPr>
        <w:t>nguồn tài trợ, hỗ trợ của các tổ chức, cá nhân trong và ngoài nước, nguồn thu hợp pháp của các t</w:t>
      </w:r>
      <w:r w:rsidR="0095744A">
        <w:rPr>
          <w:i/>
          <w:sz w:val="28"/>
          <w:szCs w:val="28"/>
        </w:rPr>
        <w:t>r</w:t>
      </w:r>
      <w:r w:rsidR="006D7BBB" w:rsidRPr="00B81A03">
        <w:rPr>
          <w:i/>
          <w:sz w:val="28"/>
          <w:szCs w:val="28"/>
        </w:rPr>
        <w:t>ường học theo quy định pháp luật.</w:t>
      </w:r>
    </w:p>
    <w:p w14:paraId="06B8EF39" w14:textId="25578BA2" w:rsidR="006D7BBB" w:rsidRPr="00B81A03" w:rsidRDefault="00511C45" w:rsidP="003B2A99">
      <w:pPr>
        <w:pStyle w:val="Binhthng1"/>
        <w:spacing w:before="120" w:after="120"/>
        <w:ind w:firstLine="720"/>
        <w:jc w:val="both"/>
        <w:rPr>
          <w:i/>
          <w:sz w:val="28"/>
          <w:szCs w:val="28"/>
        </w:rPr>
      </w:pPr>
      <w:r w:rsidRPr="00B81A03">
        <w:rPr>
          <w:i/>
          <w:sz w:val="28"/>
          <w:szCs w:val="28"/>
        </w:rPr>
        <w:t xml:space="preserve">2. </w:t>
      </w:r>
      <w:r w:rsidR="00487586" w:rsidRPr="00B81A03">
        <w:rPr>
          <w:i/>
          <w:sz w:val="28"/>
          <w:szCs w:val="28"/>
        </w:rPr>
        <w:t xml:space="preserve">Việc lập và triển khai thực hiện kế hoạch tài chính cho các nhiệm vụ của Chương trình thực hiện theo </w:t>
      </w:r>
      <w:r w:rsidR="00B81A03" w:rsidRPr="00B81A03">
        <w:rPr>
          <w:i/>
          <w:sz w:val="28"/>
          <w:szCs w:val="28"/>
        </w:rPr>
        <w:t>quy định của Luật Ngân sách nhà nước, Luật Đầu tư công và các quy định hiện hành; việc huy động các nguồn vốn hợp pháp khác theo quy định và thông qua các chương trình, dự án được phê duyệt theo quy định của pháp luật.</w:t>
      </w:r>
    </w:p>
    <w:p w14:paraId="02F8FEE7" w14:textId="513E8B79" w:rsidR="00B81A03" w:rsidRDefault="00B81A03" w:rsidP="003B2A99">
      <w:pPr>
        <w:pStyle w:val="Binhthng1"/>
        <w:spacing w:before="120" w:after="120"/>
        <w:ind w:firstLine="720"/>
        <w:jc w:val="both"/>
        <w:rPr>
          <w:sz w:val="28"/>
          <w:szCs w:val="28"/>
        </w:rPr>
      </w:pPr>
      <w:r w:rsidRPr="00B81A03">
        <w:rPr>
          <w:i/>
          <w:sz w:val="28"/>
          <w:szCs w:val="28"/>
        </w:rPr>
        <w:t>3. Căn cứ nhiệm vụ tại Chương trình này, các bộ, cơ quan trung ương, địa phương chủ động lập dự toán ngân sách hàng năm, trình cơ quan có thẩm quyền phê duyệt theo quy định của pháp luật về ngân sách nhà nước</w:t>
      </w:r>
      <w:r>
        <w:rPr>
          <w:sz w:val="28"/>
          <w:szCs w:val="28"/>
        </w:rPr>
        <w:t>.”.</w:t>
      </w:r>
    </w:p>
    <w:p w14:paraId="6D437DD0" w14:textId="5F9D7486" w:rsidR="00B81A03" w:rsidRPr="00700C2E" w:rsidRDefault="00BB46F4" w:rsidP="003B2A99">
      <w:pPr>
        <w:pStyle w:val="Binhthng1"/>
        <w:spacing w:before="120" w:after="120"/>
        <w:ind w:firstLine="720"/>
        <w:jc w:val="both"/>
        <w:rPr>
          <w:sz w:val="28"/>
          <w:szCs w:val="28"/>
        </w:rPr>
      </w:pPr>
      <w:r>
        <w:rPr>
          <w:sz w:val="28"/>
          <w:szCs w:val="28"/>
        </w:rPr>
        <w:t>Theo đó, việc cung cấp bữa ăn bán trú của các trường mầm non, tiểu học công lập từ nguồn thu hợp pháp của trường thì vẫn phải tổ chức đấu thầu, do đây là một nội dung liên quan đến hoạt động đấu thầu được quy định tại Điều 2 Luật Đấu thầu năm 2023.</w:t>
      </w:r>
      <w:r w:rsidR="0095744A">
        <w:rPr>
          <w:sz w:val="28"/>
          <w:szCs w:val="28"/>
        </w:rPr>
        <w:t xml:space="preserve"> </w:t>
      </w:r>
    </w:p>
    <w:p w14:paraId="2866427B" w14:textId="6F485A3E" w:rsidR="004109FA" w:rsidRDefault="00F0204D" w:rsidP="003B2A99">
      <w:pPr>
        <w:pStyle w:val="Binhthng1"/>
        <w:spacing w:before="120" w:after="120"/>
        <w:ind w:firstLine="720"/>
        <w:jc w:val="both"/>
        <w:rPr>
          <w:sz w:val="28"/>
          <w:szCs w:val="28"/>
        </w:rPr>
      </w:pPr>
      <w:r>
        <w:rPr>
          <w:sz w:val="28"/>
          <w:szCs w:val="28"/>
        </w:rPr>
        <w:t xml:space="preserve"> </w:t>
      </w:r>
      <w:r w:rsidRPr="00F0204D">
        <w:rPr>
          <w:sz w:val="28"/>
          <w:szCs w:val="28"/>
        </w:rPr>
        <w:t>Trong quá trình thực hiện Nghị quyết số 24/2021/NQ-HĐND, các cơ sở giáo dục có tổ chức ăn bán trú cho học sinh, phát sinh thêm nội dung phải tổ chức đấu thầu trong việc lựa chọn đơn vị cung cấp thực phẩm, suất ăn bán trú cho học sinh theo quy định tại khoản 1 Điều 2 Luật Đấu thầu năm 2023. Tuy nhiên, Nghị quyết số 24/2021/NQ-HĐND chưa quy định việc thực hiện nhiệm vụ và nội dung chi cho hoạt động đấu thầu nói riêng cũng như chi phí cho công tác mua sắm hàng hóa dịch vụ nói chung nên không xác định được nguồn kinh phí để thực hiện nhiệm vụ này từ các khoản thu để chi trả cho việc tổ chức lựa chọn nhà thầu theo quy định.</w:t>
      </w:r>
    </w:p>
    <w:p w14:paraId="368C1AB0" w14:textId="13CFC178" w:rsidR="0095744A" w:rsidRPr="00F21AE2" w:rsidRDefault="0095744A" w:rsidP="003B2A99">
      <w:pPr>
        <w:pStyle w:val="Binhthng1"/>
        <w:spacing w:before="120" w:after="120"/>
        <w:ind w:firstLine="720"/>
        <w:jc w:val="both"/>
        <w:rPr>
          <w:sz w:val="28"/>
          <w:szCs w:val="28"/>
        </w:rPr>
      </w:pPr>
      <w:r>
        <w:rPr>
          <w:sz w:val="28"/>
          <w:szCs w:val="28"/>
        </w:rPr>
        <w:t>Để đảm bảo các cơ sở giáo dục đủ kinh phí thực hiện việc tổ chức bữa ăn cho học sinh</w:t>
      </w:r>
      <w:r w:rsidR="00B32B63">
        <w:rPr>
          <w:sz w:val="28"/>
          <w:szCs w:val="28"/>
        </w:rPr>
        <w:t xml:space="preserve"> khi giá cả, vật giá tăng thì phải tăng mức thu để đảm bảo chất lượng bữa ăn. Do đó, việc quy định mức thu trong Nghị quyết là không phù hợp nên dự thảo quy định mức thu đối với dịch vụ bữa ăn bán trú sẽ do nhà trường thỏa thuận với cha mẹ học sinh để thực hiện thu.</w:t>
      </w:r>
    </w:p>
    <w:p w14:paraId="7681DC93" w14:textId="0A6B72CF" w:rsidR="00A51048" w:rsidRPr="00F21AE2" w:rsidRDefault="00D705CA" w:rsidP="004453CE">
      <w:pPr>
        <w:pStyle w:val="Binhthng1"/>
        <w:spacing w:before="120" w:after="120"/>
        <w:ind w:firstLine="720"/>
        <w:jc w:val="both"/>
        <w:rPr>
          <w:sz w:val="28"/>
          <w:szCs w:val="28"/>
        </w:rPr>
      </w:pPr>
      <w:r>
        <w:rPr>
          <w:b/>
          <w:sz w:val="28"/>
          <w:szCs w:val="28"/>
        </w:rPr>
        <w:lastRenderedPageBreak/>
        <w:t>3</w:t>
      </w:r>
      <w:r w:rsidR="008A160C" w:rsidRPr="00F21AE2">
        <w:rPr>
          <w:b/>
          <w:sz w:val="28"/>
          <w:szCs w:val="28"/>
        </w:rPr>
        <w:t xml:space="preserve">. </w:t>
      </w:r>
      <w:r w:rsidRPr="00F21AE2">
        <w:rPr>
          <w:b/>
          <w:sz w:val="28"/>
          <w:szCs w:val="28"/>
        </w:rPr>
        <w:t>Chi trả lương nhân viên nấu ăn</w:t>
      </w:r>
    </w:p>
    <w:p w14:paraId="6EF7E404" w14:textId="77777777" w:rsidR="00A51048" w:rsidRPr="00F21AE2" w:rsidRDefault="008A160C" w:rsidP="004453CE">
      <w:pPr>
        <w:pStyle w:val="Binhthng1"/>
        <w:spacing w:before="120" w:after="120"/>
        <w:ind w:firstLine="720"/>
        <w:jc w:val="both"/>
        <w:rPr>
          <w:sz w:val="28"/>
          <w:szCs w:val="28"/>
        </w:rPr>
      </w:pPr>
      <w:r w:rsidRPr="00F21AE2">
        <w:rPr>
          <w:sz w:val="28"/>
          <w:szCs w:val="28"/>
        </w:rPr>
        <w:t>Dự kiến mức thu để chi trả cho nhân viên nấu ăn ở trường mầm non được tính như sau:</w:t>
      </w:r>
    </w:p>
    <w:p w14:paraId="36F36DF5" w14:textId="7EDECCB0" w:rsidR="00A51048" w:rsidRPr="00F21AE2" w:rsidRDefault="00DD0BA8" w:rsidP="004453CE">
      <w:pPr>
        <w:pStyle w:val="Binhthng1"/>
        <w:spacing w:before="120" w:after="120"/>
        <w:ind w:firstLine="720"/>
        <w:jc w:val="both"/>
        <w:rPr>
          <w:sz w:val="28"/>
          <w:szCs w:val="28"/>
        </w:rPr>
      </w:pPr>
      <w:r w:rsidRPr="00F21AE2">
        <w:rPr>
          <w:sz w:val="28"/>
          <w:szCs w:val="28"/>
        </w:rPr>
        <w:t>((</w:t>
      </w:r>
      <w:r w:rsidR="008A160C" w:rsidRPr="00F21AE2">
        <w:rPr>
          <w:sz w:val="28"/>
          <w:szCs w:val="28"/>
        </w:rPr>
        <w:t>Lương tối thiểu vùng từng thời điểm do Chính phủ ban hành + 23,5% (17,5% bảo hiểm xã hội + 3% bảo hiểm y tế + 1% bảo hiểm thất nghiệp + 2% công đoàn phí) x số lượng người cấp dưỡng</w:t>
      </w:r>
      <w:r w:rsidRPr="00F21AE2">
        <w:rPr>
          <w:sz w:val="28"/>
          <w:szCs w:val="28"/>
        </w:rPr>
        <w:t>)/số học sinh) x 2,84%))</w:t>
      </w:r>
      <w:r w:rsidR="008A160C" w:rsidRPr="00F21AE2">
        <w:rPr>
          <w:sz w:val="28"/>
          <w:szCs w:val="28"/>
        </w:rPr>
        <w:t xml:space="preserve">. </w:t>
      </w:r>
    </w:p>
    <w:p w14:paraId="33CE1743" w14:textId="0B9966DF" w:rsidR="00A51048" w:rsidRPr="00F21AE2" w:rsidRDefault="008A160C" w:rsidP="004453CE">
      <w:pPr>
        <w:pStyle w:val="Binhthng1"/>
        <w:spacing w:before="120" w:after="120"/>
        <w:ind w:firstLine="720"/>
        <w:jc w:val="both"/>
        <w:rPr>
          <w:sz w:val="28"/>
          <w:szCs w:val="28"/>
        </w:rPr>
      </w:pPr>
      <w:r w:rsidRPr="00F21AE2">
        <w:rPr>
          <w:sz w:val="28"/>
          <w:szCs w:val="28"/>
        </w:rPr>
        <w:t>Ví dụ: Thành phố Bến Tre thuộc vùng II, mức lương trả cho 01 người cấp dưỡng là 5.446.000 đồng (bao gồm: mức lương tối thiểu vùng + 23,5% = 4.410.000 + 1.036.000 = 5.446.000 đồng). Với định mức cho 01 cấp dưỡng là 35 trẻ, mức đóng của mỗi trẻ cần là 156.000 đồng/người học/tháng</w:t>
      </w:r>
      <w:r w:rsidR="00CD2CDF" w:rsidRPr="00F21AE2">
        <w:rPr>
          <w:sz w:val="28"/>
          <w:szCs w:val="28"/>
        </w:rPr>
        <w:t xml:space="preserve"> x 2,84% = 160.000 đồng/người học/tháng</w:t>
      </w:r>
      <w:r w:rsidRPr="00F21AE2">
        <w:rPr>
          <w:sz w:val="28"/>
          <w:szCs w:val="28"/>
        </w:rPr>
        <w:t>, tăng 4</w:t>
      </w:r>
      <w:r w:rsidR="004405AD" w:rsidRPr="00F21AE2">
        <w:rPr>
          <w:sz w:val="28"/>
          <w:szCs w:val="28"/>
        </w:rPr>
        <w:t>5</w:t>
      </w:r>
      <w:r w:rsidRPr="00F21AE2">
        <w:rPr>
          <w:sz w:val="28"/>
          <w:szCs w:val="28"/>
        </w:rPr>
        <w:t>.000 đồng so với Nghị quyết số 24/2021/NQ-HĐND. Lương tối thiểu vùng được áp dụng theo mức lương quy định tại Nghị định số 74/2024/NĐ-CP ngày 30 tháng 6 năm 2024 của Chính phủ quy định mức lương tối thiểu vùng đối với người lao động làm việc theo hợp đồng lao động.</w:t>
      </w:r>
    </w:p>
    <w:p w14:paraId="428358B4" w14:textId="2AFB9F49" w:rsidR="00C50946" w:rsidRPr="00F21AE2" w:rsidRDefault="00D705CA" w:rsidP="004453CE">
      <w:pPr>
        <w:pStyle w:val="Binhthng1"/>
        <w:spacing w:before="120" w:after="120"/>
        <w:ind w:firstLine="720"/>
        <w:jc w:val="both"/>
        <w:rPr>
          <w:b/>
          <w:sz w:val="28"/>
          <w:szCs w:val="28"/>
        </w:rPr>
      </w:pPr>
      <w:r>
        <w:rPr>
          <w:b/>
          <w:sz w:val="28"/>
          <w:szCs w:val="28"/>
        </w:rPr>
        <w:t>4</w:t>
      </w:r>
      <w:r w:rsidRPr="00F21AE2">
        <w:rPr>
          <w:b/>
          <w:sz w:val="28"/>
          <w:szCs w:val="28"/>
        </w:rPr>
        <w:t>. Dịch vụ chăm sóc, nuôi dưỡng trẻ em ngoài giờ (bao gồm dịch vụ trông giữ trẻ ngày nghỉ, thứ bảy, chủ nhật)</w:t>
      </w:r>
    </w:p>
    <w:p w14:paraId="43EEDA5E" w14:textId="77777777" w:rsidR="00A51048" w:rsidRPr="00F21AE2" w:rsidRDefault="008A160C" w:rsidP="004453CE">
      <w:pPr>
        <w:pStyle w:val="Binhthng1"/>
        <w:spacing w:before="120" w:after="120"/>
        <w:ind w:firstLine="720"/>
        <w:jc w:val="both"/>
        <w:rPr>
          <w:sz w:val="28"/>
          <w:szCs w:val="28"/>
        </w:rPr>
      </w:pPr>
      <w:r w:rsidRPr="00F21AE2">
        <w:rPr>
          <w:sz w:val="28"/>
          <w:szCs w:val="28"/>
        </w:rPr>
        <w:t>- Nội dung: Chi bồi dưỡng giáo viên trực tiếp tham gia hoạt động chăm sóc, nuôi dưỡng trẻ em trong các ngày nghỉ; chi bồi dưỡng cán bộ quản lý, nhân viên phục vụ; chi các nội dung có liên quan để phục vụ hoạt động chăm sóc nuôi dưỡng trẻ trong các ngày nghỉ.</w:t>
      </w:r>
    </w:p>
    <w:p w14:paraId="3D3C0DFB" w14:textId="77777777" w:rsidR="00A51048" w:rsidRPr="00F21AE2" w:rsidRDefault="008A160C" w:rsidP="004453CE">
      <w:pPr>
        <w:pStyle w:val="Binhthng1"/>
        <w:spacing w:before="120" w:after="120"/>
        <w:ind w:firstLine="720"/>
        <w:jc w:val="both"/>
        <w:rPr>
          <w:sz w:val="28"/>
          <w:szCs w:val="28"/>
        </w:rPr>
      </w:pPr>
      <w:r w:rsidRPr="00F21AE2">
        <w:rPr>
          <w:sz w:val="28"/>
          <w:szCs w:val="28"/>
        </w:rPr>
        <w:t xml:space="preserve">- Mức thu: </w:t>
      </w:r>
      <w:r w:rsidRPr="00F21AE2">
        <w:rPr>
          <w:b/>
          <w:sz w:val="28"/>
          <w:szCs w:val="28"/>
        </w:rPr>
        <w:t>70.000 đồng/trẻ/ngày</w:t>
      </w:r>
      <w:r w:rsidRPr="00F21AE2">
        <w:rPr>
          <w:sz w:val="28"/>
          <w:szCs w:val="28"/>
        </w:rPr>
        <w:t>.</w:t>
      </w:r>
    </w:p>
    <w:p w14:paraId="43F13B1D" w14:textId="77777777" w:rsidR="00A51048" w:rsidRPr="00F21AE2" w:rsidRDefault="008A160C" w:rsidP="004453CE">
      <w:pPr>
        <w:pStyle w:val="Binhthng1"/>
        <w:spacing w:before="120" w:after="120"/>
        <w:ind w:firstLine="720"/>
        <w:jc w:val="both"/>
        <w:rPr>
          <w:sz w:val="28"/>
          <w:szCs w:val="28"/>
        </w:rPr>
      </w:pPr>
      <w:r w:rsidRPr="00F21AE2">
        <w:rPr>
          <w:sz w:val="28"/>
          <w:szCs w:val="28"/>
        </w:rPr>
        <w:t xml:space="preserve">- Cơ sở đề xuất: xác định trên cơ sở chi phí nhân công trực tiếp và chi phí quản lý, cụ thể: </w:t>
      </w:r>
    </w:p>
    <w:p w14:paraId="187594B7" w14:textId="77777777" w:rsidR="00A51048" w:rsidRPr="00F21AE2" w:rsidRDefault="008A160C" w:rsidP="004453CE">
      <w:pPr>
        <w:pStyle w:val="Binhthng1"/>
        <w:spacing w:before="120" w:after="120"/>
        <w:ind w:firstLine="720"/>
        <w:jc w:val="both"/>
        <w:rPr>
          <w:sz w:val="28"/>
          <w:szCs w:val="28"/>
        </w:rPr>
      </w:pPr>
      <w:r w:rsidRPr="00F21AE2">
        <w:rPr>
          <w:sz w:val="28"/>
          <w:szCs w:val="28"/>
        </w:rPr>
        <w:t>Tiền lương làm thêm giờ của giáo viên mầm non = tiền lương bình quân/người của một tháng khoảng 7.800.000 đồng</w:t>
      </w:r>
      <w:r w:rsidRPr="00F21AE2">
        <w:rPr>
          <w:sz w:val="28"/>
          <w:szCs w:val="28"/>
          <w:vertAlign w:val="superscript"/>
        </w:rPr>
        <w:footnoteReference w:id="8"/>
      </w:r>
      <w:r w:rsidRPr="00F21AE2">
        <w:rPr>
          <w:sz w:val="28"/>
          <w:szCs w:val="28"/>
        </w:rPr>
        <w:t>/22 ngày làm việc/8 giờ * 200% (theo quy định đối với làm việc thêm giờ ngày thứ Bảy, Chủ nhật)</w:t>
      </w:r>
      <w:r w:rsidRPr="00F21AE2">
        <w:rPr>
          <w:sz w:val="28"/>
          <w:szCs w:val="28"/>
          <w:vertAlign w:val="superscript"/>
        </w:rPr>
        <w:footnoteReference w:id="9"/>
      </w:r>
      <w:r w:rsidRPr="00F21AE2">
        <w:rPr>
          <w:sz w:val="28"/>
          <w:szCs w:val="28"/>
        </w:rPr>
        <w:t xml:space="preserve"> = 88.600 đồng/người/giờ. Số học sinh/lớp khoảng 35 trẻ, mỗi lớp cần 2 giáo viên, chia ra cụ thể:</w:t>
      </w:r>
    </w:p>
    <w:p w14:paraId="71D6E766" w14:textId="77777777" w:rsidR="00A51048" w:rsidRPr="00F21AE2" w:rsidRDefault="008A160C" w:rsidP="004453CE">
      <w:pPr>
        <w:pStyle w:val="Binhthng1"/>
        <w:spacing w:before="120" w:after="120"/>
        <w:ind w:firstLine="720"/>
        <w:jc w:val="both"/>
        <w:rPr>
          <w:sz w:val="28"/>
          <w:szCs w:val="28"/>
        </w:rPr>
      </w:pPr>
      <w:r w:rsidRPr="00F21AE2">
        <w:rPr>
          <w:sz w:val="28"/>
          <w:szCs w:val="28"/>
        </w:rPr>
        <w:lastRenderedPageBreak/>
        <w:t>(1) Chi phí nhân công trực tiếp cho mỗi giờ/trẻ = 88.600 đồng * 2 người / 35 trẻ trên lớp = 5.062 đồng/trẻ/giờ (làm tròn 5.000 đồng).</w:t>
      </w:r>
    </w:p>
    <w:p w14:paraId="5C7839BA" w14:textId="77777777" w:rsidR="00A51048" w:rsidRPr="00F21AE2" w:rsidRDefault="008A160C" w:rsidP="004453CE">
      <w:pPr>
        <w:pStyle w:val="Binhthng1"/>
        <w:spacing w:before="120" w:after="120"/>
        <w:ind w:firstLine="720"/>
        <w:jc w:val="both"/>
        <w:rPr>
          <w:sz w:val="28"/>
          <w:szCs w:val="28"/>
        </w:rPr>
      </w:pPr>
      <w:r w:rsidRPr="00F21AE2">
        <w:rPr>
          <w:sz w:val="28"/>
          <w:szCs w:val="28"/>
        </w:rPr>
        <w:t>Tiền lương làm thêm giờ của nhân công phục vụ (nhân viên nấu ăn, nhân viên phục vụ, cán bộ quản lý,...) = 5.446.000 đồng</w:t>
      </w:r>
      <w:r w:rsidR="008B637D" w:rsidRPr="00F21AE2">
        <w:rPr>
          <w:sz w:val="28"/>
          <w:szCs w:val="28"/>
        </w:rPr>
        <w:t xml:space="preserve"> (đối với vùng II)</w:t>
      </w:r>
      <w:r w:rsidRPr="00F21AE2">
        <w:rPr>
          <w:sz w:val="28"/>
          <w:szCs w:val="28"/>
        </w:rPr>
        <w:t xml:space="preserve">/22 ngày/8 giờ * 200% = 61.800 đồng/người/giờ. </w:t>
      </w:r>
    </w:p>
    <w:p w14:paraId="0B4B7036" w14:textId="77777777" w:rsidR="00A51048" w:rsidRPr="00F21AE2" w:rsidRDefault="008A160C" w:rsidP="004453CE">
      <w:pPr>
        <w:pStyle w:val="Binhthng1"/>
        <w:spacing w:before="120" w:after="120"/>
        <w:ind w:firstLine="720"/>
        <w:jc w:val="both"/>
        <w:rPr>
          <w:sz w:val="28"/>
          <w:szCs w:val="28"/>
        </w:rPr>
      </w:pPr>
      <w:r w:rsidRPr="00F21AE2">
        <w:rPr>
          <w:sz w:val="28"/>
          <w:szCs w:val="28"/>
        </w:rPr>
        <w:t>(2) Chi phí nhân công phục vụ mỗi giờ/trẻ = 61.800 đồng /35 trẻ = 1.765 đồng/người/giờ (2.000 đồng)</w:t>
      </w:r>
    </w:p>
    <w:p w14:paraId="681C80B6" w14:textId="77777777" w:rsidR="00A51048" w:rsidRPr="00F21AE2" w:rsidRDefault="008A160C" w:rsidP="004453CE">
      <w:pPr>
        <w:pStyle w:val="Binhthng1"/>
        <w:spacing w:before="120" w:after="120"/>
        <w:ind w:firstLine="720"/>
        <w:jc w:val="both"/>
        <w:rPr>
          <w:sz w:val="28"/>
          <w:szCs w:val="28"/>
        </w:rPr>
      </w:pPr>
      <w:r w:rsidRPr="00F21AE2">
        <w:rPr>
          <w:sz w:val="28"/>
          <w:szCs w:val="28"/>
        </w:rPr>
        <w:t xml:space="preserve">Tổng chi phí/trẻ/ngày = ((1) + (2)) *10 = (5.000 đồng/trẻ/giờ + 2.000 đồng/trẻ/giờ ) * 10 </w:t>
      </w:r>
      <w:r w:rsidR="00BF4D97" w:rsidRPr="00F21AE2">
        <w:rPr>
          <w:sz w:val="28"/>
          <w:szCs w:val="28"/>
        </w:rPr>
        <w:t>giờ/ngày = 70.000 đồng/trẻ/ngày, tăng 39.000 đồng so với mức thu của Nghị quyết số 24/2021/NQ-HĐND.</w:t>
      </w:r>
    </w:p>
    <w:p w14:paraId="2882AFB1" w14:textId="3063163B" w:rsidR="002E333E" w:rsidRPr="00F21AE2" w:rsidRDefault="00D705CA" w:rsidP="004453CE">
      <w:pPr>
        <w:pStyle w:val="Binhthng1"/>
        <w:spacing w:before="120" w:after="120"/>
        <w:ind w:firstLine="720"/>
        <w:jc w:val="both"/>
        <w:rPr>
          <w:b/>
          <w:sz w:val="28"/>
          <w:szCs w:val="28"/>
        </w:rPr>
      </w:pPr>
      <w:r>
        <w:rPr>
          <w:b/>
          <w:sz w:val="28"/>
          <w:szCs w:val="28"/>
        </w:rPr>
        <w:t>5</w:t>
      </w:r>
      <w:r w:rsidR="002E333E" w:rsidRPr="00F21AE2">
        <w:rPr>
          <w:b/>
          <w:sz w:val="28"/>
          <w:szCs w:val="28"/>
        </w:rPr>
        <w:t xml:space="preserve">. </w:t>
      </w:r>
      <w:r w:rsidRPr="00F21AE2">
        <w:rPr>
          <w:b/>
          <w:sz w:val="28"/>
          <w:szCs w:val="28"/>
        </w:rPr>
        <w:t>Dịch vụ dọn vệ sinh trường, nhà vệ sinh phục vụ người học</w:t>
      </w:r>
    </w:p>
    <w:p w14:paraId="389AF085" w14:textId="77777777" w:rsidR="00A51048" w:rsidRPr="00F21AE2" w:rsidRDefault="008A160C" w:rsidP="004453CE">
      <w:pPr>
        <w:pStyle w:val="Binhthng1"/>
        <w:spacing w:before="120" w:after="120"/>
        <w:ind w:firstLine="720"/>
        <w:jc w:val="both"/>
        <w:rPr>
          <w:sz w:val="28"/>
          <w:szCs w:val="28"/>
        </w:rPr>
      </w:pPr>
      <w:r w:rsidRPr="00F21AE2">
        <w:rPr>
          <w:sz w:val="28"/>
          <w:szCs w:val="28"/>
        </w:rPr>
        <w:t>Căn cứ Nghị định số 74/2024/NĐ-CP ngày 30/6/2024 của Chính ph</w:t>
      </w:r>
      <w:r w:rsidR="00F6052B" w:rsidRPr="00F21AE2">
        <w:rPr>
          <w:sz w:val="28"/>
          <w:szCs w:val="28"/>
        </w:rPr>
        <w:t>ủ</w:t>
      </w:r>
      <w:r w:rsidRPr="00F21AE2">
        <w:rPr>
          <w:sz w:val="28"/>
          <w:szCs w:val="28"/>
        </w:rPr>
        <w:t xml:space="preserve"> quy định mức lương tối thiểu vùng đối với người lao động làm việc theo hợp đồng lao động, mức đóng góp của cha mẹ học sinh để chi trả cho dịch vụ dọn vệ sinh trường, nhà vệ sinh phục vụ người học như sau:</w:t>
      </w:r>
    </w:p>
    <w:p w14:paraId="2B09E247" w14:textId="77777777" w:rsidR="00BE6CE5" w:rsidRPr="00F21AE2" w:rsidRDefault="00BE6CE5" w:rsidP="004453CE">
      <w:pPr>
        <w:pStyle w:val="Binhthng1"/>
        <w:spacing w:before="120" w:after="120"/>
        <w:ind w:firstLine="720"/>
        <w:jc w:val="both"/>
        <w:rPr>
          <w:sz w:val="28"/>
          <w:szCs w:val="28"/>
        </w:rPr>
      </w:pPr>
      <w:r w:rsidRPr="00F21AE2">
        <w:rPr>
          <w:sz w:val="28"/>
          <w:szCs w:val="28"/>
        </w:rPr>
        <w:t xml:space="preserve">Trường mầm non có quy mô tối thiểu 09 nhóm, lớp, tối đa 30 nhóm, lớp; </w:t>
      </w:r>
      <w:r w:rsidR="008A160C" w:rsidRPr="00F21AE2">
        <w:rPr>
          <w:sz w:val="28"/>
          <w:szCs w:val="28"/>
        </w:rPr>
        <w:t xml:space="preserve"> trường tiểu học có </w:t>
      </w:r>
      <w:r w:rsidRPr="00F21AE2">
        <w:rPr>
          <w:sz w:val="28"/>
          <w:szCs w:val="28"/>
        </w:rPr>
        <w:t>quy mô tối thiểu 10 lớp</w:t>
      </w:r>
      <w:r w:rsidR="008A160C" w:rsidRPr="00F21AE2">
        <w:rPr>
          <w:sz w:val="28"/>
          <w:szCs w:val="28"/>
        </w:rPr>
        <w:t>, tối đa 35 học sinh/lớp</w:t>
      </w:r>
      <w:r w:rsidRPr="00F21AE2">
        <w:rPr>
          <w:sz w:val="28"/>
          <w:szCs w:val="28"/>
        </w:rPr>
        <w:t xml:space="preserve"> theo quy định tại Thông tư số 23/2024/TT-BGDĐT ngày 16 tháng 12 năm 2024 của Bộ trưởng Bộ Giáo dục và Đào tạo sửa đổi, bổ sung một số điều của quy định tiêu chuẩn cơ sở vật chất các trường mầm non, trường tiểu học, trung học cơ sở, trung học phổ thông và trường phổ thông có nhiều cấp học ban hành kèm theo Thông tư số 13/2020/TT-BGDĐT ngày 26 tháng 5 năm 2020 của Bộ trưởng Bộ Giáo dục và Đào tạo.</w:t>
      </w:r>
    </w:p>
    <w:p w14:paraId="353A8DF8" w14:textId="77777777" w:rsidR="000759CF" w:rsidRPr="00F21AE2" w:rsidRDefault="00BE6CE5" w:rsidP="00BF00C2">
      <w:pPr>
        <w:pStyle w:val="Binhthng1"/>
        <w:spacing w:before="120" w:after="120"/>
        <w:ind w:firstLine="720"/>
        <w:jc w:val="both"/>
        <w:rPr>
          <w:sz w:val="28"/>
          <w:szCs w:val="28"/>
        </w:rPr>
      </w:pPr>
      <w:r w:rsidRPr="00F21AE2">
        <w:rPr>
          <w:sz w:val="28"/>
          <w:szCs w:val="28"/>
        </w:rPr>
        <w:t>T</w:t>
      </w:r>
      <w:r w:rsidR="008A160C" w:rsidRPr="00F21AE2">
        <w:rPr>
          <w:sz w:val="28"/>
          <w:szCs w:val="28"/>
        </w:rPr>
        <w:t xml:space="preserve">rường trung học cơ sở có quy mô tối thiểu 08 lớp, tối đa 45 học sinh/lớp; trường trung học phổ thông có quy mô tối thiểu 15 lớp, tối đa 45 học sinh/lớp; trường phổ thông có nhiều cấp học có quy mô tối thiểu </w:t>
      </w:r>
      <w:r w:rsidR="00BF00C2" w:rsidRPr="00F21AE2">
        <w:rPr>
          <w:sz w:val="28"/>
          <w:szCs w:val="28"/>
        </w:rPr>
        <w:t xml:space="preserve">09 lớp, tối đa 45 học sinh/lớp được quy định tại Thông tư số 13/2020/TT-BGDĐT ngày 26 tháng 5 năm 2020 của Bộ trưởng Bộ Giáo dục và Đào tạo ban hành quy định tiêu chuẩn cơ sở vật chất các trường mầm non, tiểu học, trung học cơ sở, trung học phổ thông và trường phổ thông có nhiều cấp học; Thông tư số </w:t>
      </w:r>
      <w:r w:rsidR="00D06C9D" w:rsidRPr="00F21AE2">
        <w:rPr>
          <w:sz w:val="28"/>
          <w:szCs w:val="28"/>
        </w:rPr>
        <w:t>32</w:t>
      </w:r>
      <w:r w:rsidR="003C40E6" w:rsidRPr="00F21AE2">
        <w:rPr>
          <w:sz w:val="28"/>
          <w:szCs w:val="28"/>
        </w:rPr>
        <w:t>/202</w:t>
      </w:r>
      <w:r w:rsidR="00D06C9D" w:rsidRPr="00F21AE2">
        <w:rPr>
          <w:sz w:val="28"/>
          <w:szCs w:val="28"/>
        </w:rPr>
        <w:t>0</w:t>
      </w:r>
      <w:r w:rsidR="003C40E6" w:rsidRPr="00F21AE2">
        <w:rPr>
          <w:sz w:val="28"/>
          <w:szCs w:val="28"/>
        </w:rPr>
        <w:t xml:space="preserve">/TT-BGDĐT ngày </w:t>
      </w:r>
      <w:r w:rsidR="00D06C9D" w:rsidRPr="00F21AE2">
        <w:rPr>
          <w:sz w:val="28"/>
          <w:szCs w:val="28"/>
        </w:rPr>
        <w:t>15</w:t>
      </w:r>
      <w:r w:rsidR="003C40E6" w:rsidRPr="00F21AE2">
        <w:rPr>
          <w:sz w:val="28"/>
          <w:szCs w:val="28"/>
        </w:rPr>
        <w:t xml:space="preserve"> tháng </w:t>
      </w:r>
      <w:r w:rsidR="00D06C9D" w:rsidRPr="00F21AE2">
        <w:rPr>
          <w:sz w:val="28"/>
          <w:szCs w:val="28"/>
        </w:rPr>
        <w:t>9</w:t>
      </w:r>
      <w:r w:rsidR="003C40E6" w:rsidRPr="00F21AE2">
        <w:rPr>
          <w:sz w:val="28"/>
          <w:szCs w:val="28"/>
        </w:rPr>
        <w:t xml:space="preserve"> năm 202</w:t>
      </w:r>
      <w:r w:rsidR="00D06C9D" w:rsidRPr="00F21AE2">
        <w:rPr>
          <w:sz w:val="28"/>
          <w:szCs w:val="28"/>
        </w:rPr>
        <w:t>0</w:t>
      </w:r>
      <w:r w:rsidR="003C40E6" w:rsidRPr="00F21AE2">
        <w:rPr>
          <w:sz w:val="28"/>
          <w:szCs w:val="28"/>
        </w:rPr>
        <w:t xml:space="preserve"> của Bộ trưởng Bộ Giáo dục và Đào tạo ban hành</w:t>
      </w:r>
      <w:r w:rsidR="00D06C9D" w:rsidRPr="00F21AE2">
        <w:rPr>
          <w:sz w:val="28"/>
          <w:szCs w:val="28"/>
        </w:rPr>
        <w:t xml:space="preserve"> Điều lệ trường trung học cơ sở, trường trung học phổ thông và trường phổ thông có nhiều cấp học</w:t>
      </w:r>
      <w:r w:rsidR="003C40E6" w:rsidRPr="00F21AE2">
        <w:rPr>
          <w:sz w:val="28"/>
          <w:szCs w:val="28"/>
        </w:rPr>
        <w:t>.</w:t>
      </w:r>
    </w:p>
    <w:p w14:paraId="22652435" w14:textId="77777777" w:rsidR="000759CF" w:rsidRPr="00F21AE2" w:rsidRDefault="000759CF" w:rsidP="00BF00C2">
      <w:pPr>
        <w:pStyle w:val="Binhthng1"/>
        <w:spacing w:before="120" w:after="120"/>
        <w:ind w:firstLine="720"/>
        <w:jc w:val="both"/>
        <w:rPr>
          <w:sz w:val="28"/>
          <w:szCs w:val="28"/>
        </w:rPr>
      </w:pPr>
      <w:r w:rsidRPr="00F21AE2">
        <w:rPr>
          <w:sz w:val="28"/>
          <w:szCs w:val="28"/>
        </w:rPr>
        <w:t>Trường chuyên, mỗi lớp chuyên không quá 35 học sinh theo quy định tại Điều 8 Thông tư số 05/2023/TT-BGDĐT ngày 28 tháng 02 năm 2023 của Bộ trưởng Bộ Giáo dục và Đào tạo ban hành Quy chế tổ chức và hoạt động của trường trung học phổ thông chuyên.</w:t>
      </w:r>
    </w:p>
    <w:p w14:paraId="1D2AD92D" w14:textId="77777777" w:rsidR="00A51048" w:rsidRPr="00F21AE2" w:rsidRDefault="00BF00C2" w:rsidP="00BF00C2">
      <w:pPr>
        <w:pStyle w:val="Binhthng1"/>
        <w:spacing w:before="120" w:after="120"/>
        <w:ind w:firstLine="720"/>
        <w:jc w:val="both"/>
        <w:rPr>
          <w:sz w:val="28"/>
          <w:szCs w:val="28"/>
        </w:rPr>
        <w:sectPr w:rsidR="00A51048" w:rsidRPr="00F21AE2" w:rsidSect="00CD0F97">
          <w:headerReference w:type="even" r:id="rId10"/>
          <w:headerReference w:type="default" r:id="rId11"/>
          <w:footerReference w:type="even" r:id="rId12"/>
          <w:footerReference w:type="default" r:id="rId13"/>
          <w:headerReference w:type="first" r:id="rId14"/>
          <w:footerReference w:type="first" r:id="rId15"/>
          <w:pgSz w:w="11907" w:h="16840"/>
          <w:pgMar w:top="1134" w:right="851" w:bottom="900" w:left="1701" w:header="567" w:footer="567" w:gutter="0"/>
          <w:pgNumType w:start="1"/>
          <w:cols w:space="720"/>
          <w:titlePg/>
          <w:docGrid w:linePitch="326"/>
        </w:sectPr>
      </w:pPr>
      <w:r w:rsidRPr="00F21AE2">
        <w:rPr>
          <w:sz w:val="28"/>
          <w:szCs w:val="28"/>
        </w:rPr>
        <w:t xml:space="preserve"> </w:t>
      </w:r>
    </w:p>
    <w:p w14:paraId="0FDA579C" w14:textId="77777777" w:rsidR="00BF4D97" w:rsidRPr="00F21AE2" w:rsidRDefault="003547FF" w:rsidP="00BB4C21">
      <w:pPr>
        <w:pStyle w:val="Binhthng1"/>
        <w:spacing w:before="120" w:after="120"/>
        <w:ind w:firstLine="720"/>
        <w:jc w:val="both"/>
        <w:rPr>
          <w:b/>
          <w:sz w:val="28"/>
          <w:szCs w:val="28"/>
        </w:rPr>
      </w:pPr>
      <w:r w:rsidRPr="00F21AE2">
        <w:rPr>
          <w:b/>
          <w:sz w:val="28"/>
          <w:szCs w:val="28"/>
        </w:rPr>
        <w:lastRenderedPageBreak/>
        <w:t xml:space="preserve">Bảng </w:t>
      </w:r>
      <w:r w:rsidR="00BF4D97" w:rsidRPr="00F21AE2">
        <w:rPr>
          <w:b/>
          <w:sz w:val="28"/>
          <w:szCs w:val="28"/>
        </w:rPr>
        <w:t>3</w:t>
      </w:r>
      <w:r w:rsidRPr="00F21AE2">
        <w:rPr>
          <w:b/>
          <w:sz w:val="28"/>
          <w:szCs w:val="28"/>
        </w:rPr>
        <w:t xml:space="preserve">. </w:t>
      </w:r>
      <w:r w:rsidR="00BF4D97" w:rsidRPr="00F21AE2">
        <w:rPr>
          <w:b/>
          <w:sz w:val="28"/>
          <w:szCs w:val="28"/>
        </w:rPr>
        <w:t>Bảng tính toán</w:t>
      </w:r>
      <w:r w:rsidR="00BD0516" w:rsidRPr="00F21AE2">
        <w:rPr>
          <w:b/>
          <w:sz w:val="28"/>
          <w:szCs w:val="28"/>
        </w:rPr>
        <w:t xml:space="preserve"> chí phí khoản thu dịch vụ dọn vệ sinh trường, nhà vệ sinh phục vụ người học</w:t>
      </w:r>
    </w:p>
    <w:p w14:paraId="465FC15B" w14:textId="77777777" w:rsidR="00A51048" w:rsidRPr="00F21AE2" w:rsidRDefault="008A160C" w:rsidP="00BB4C21">
      <w:pPr>
        <w:pStyle w:val="Binhthng1"/>
        <w:spacing w:before="120" w:after="120"/>
        <w:ind w:firstLine="720"/>
        <w:jc w:val="both"/>
        <w:rPr>
          <w:sz w:val="28"/>
          <w:szCs w:val="28"/>
        </w:rPr>
      </w:pPr>
      <w:r w:rsidRPr="00F21AE2">
        <w:rPr>
          <w:sz w:val="28"/>
          <w:szCs w:val="28"/>
        </w:rPr>
        <w:tab/>
      </w:r>
      <w:r w:rsidRPr="00F21AE2">
        <w:rPr>
          <w:sz w:val="28"/>
          <w:szCs w:val="28"/>
        </w:rPr>
        <w:tab/>
      </w:r>
      <w:r w:rsidRPr="00F21AE2">
        <w:rPr>
          <w:sz w:val="28"/>
          <w:szCs w:val="28"/>
        </w:rPr>
        <w:tab/>
      </w:r>
      <w:r w:rsidRPr="00F21AE2">
        <w:rPr>
          <w:sz w:val="28"/>
          <w:szCs w:val="28"/>
        </w:rPr>
        <w:tab/>
      </w:r>
      <w:r w:rsidRPr="00F21AE2">
        <w:rPr>
          <w:sz w:val="28"/>
          <w:szCs w:val="28"/>
        </w:rPr>
        <w:tab/>
      </w:r>
      <w:r w:rsidRPr="00F21AE2">
        <w:rPr>
          <w:sz w:val="28"/>
          <w:szCs w:val="28"/>
        </w:rPr>
        <w:tab/>
      </w:r>
      <w:r w:rsidRPr="00F21AE2">
        <w:rPr>
          <w:sz w:val="28"/>
          <w:szCs w:val="28"/>
        </w:rPr>
        <w:tab/>
      </w:r>
      <w:r w:rsidRPr="00F21AE2">
        <w:rPr>
          <w:sz w:val="28"/>
          <w:szCs w:val="28"/>
        </w:rPr>
        <w:tab/>
      </w:r>
      <w:r w:rsidRPr="00F21AE2">
        <w:rPr>
          <w:sz w:val="28"/>
          <w:szCs w:val="28"/>
        </w:rPr>
        <w:tab/>
      </w:r>
      <w:r w:rsidR="006F5FCE" w:rsidRPr="00F21AE2">
        <w:rPr>
          <w:sz w:val="28"/>
          <w:szCs w:val="28"/>
        </w:rPr>
        <w:tab/>
      </w:r>
      <w:r w:rsidR="006F5FCE" w:rsidRPr="00F21AE2">
        <w:rPr>
          <w:sz w:val="28"/>
          <w:szCs w:val="28"/>
        </w:rPr>
        <w:tab/>
      </w:r>
      <w:r w:rsidR="006F5FCE" w:rsidRPr="00F21AE2">
        <w:rPr>
          <w:sz w:val="28"/>
          <w:szCs w:val="28"/>
        </w:rPr>
        <w:tab/>
      </w:r>
      <w:r w:rsidR="006F5FCE" w:rsidRPr="00F21AE2">
        <w:rPr>
          <w:sz w:val="28"/>
          <w:szCs w:val="28"/>
        </w:rPr>
        <w:tab/>
      </w:r>
      <w:r w:rsidR="006F5FCE" w:rsidRPr="00F21AE2">
        <w:rPr>
          <w:sz w:val="28"/>
          <w:szCs w:val="28"/>
        </w:rPr>
        <w:tab/>
      </w:r>
      <w:r w:rsidR="00BB4C21" w:rsidRPr="00F21AE2">
        <w:rPr>
          <w:sz w:val="28"/>
          <w:szCs w:val="28"/>
        </w:rPr>
        <w:tab/>
      </w:r>
      <w:r w:rsidRPr="00F21AE2">
        <w:rPr>
          <w:i/>
          <w:sz w:val="28"/>
          <w:szCs w:val="28"/>
        </w:rPr>
        <w:t>Đơn vị tính: nghìn đồng</w:t>
      </w:r>
    </w:p>
    <w:tbl>
      <w:tblPr>
        <w:tblStyle w:val="a0"/>
        <w:tblW w:w="14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081"/>
        <w:gridCol w:w="1187"/>
        <w:gridCol w:w="1081"/>
        <w:gridCol w:w="1276"/>
        <w:gridCol w:w="1275"/>
        <w:gridCol w:w="1276"/>
        <w:gridCol w:w="1242"/>
        <w:gridCol w:w="850"/>
        <w:gridCol w:w="993"/>
        <w:gridCol w:w="992"/>
        <w:gridCol w:w="709"/>
        <w:gridCol w:w="992"/>
        <w:gridCol w:w="993"/>
      </w:tblGrid>
      <w:tr w:rsidR="00F21AE2" w:rsidRPr="00F21AE2" w14:paraId="0A641C33" w14:textId="77777777" w:rsidTr="00D66940">
        <w:trPr>
          <w:cantSplit/>
          <w:tblHeader/>
        </w:trPr>
        <w:tc>
          <w:tcPr>
            <w:tcW w:w="870" w:type="dxa"/>
            <w:vMerge w:val="restart"/>
          </w:tcPr>
          <w:p w14:paraId="6289970C" w14:textId="77777777" w:rsidR="00A51048" w:rsidRPr="00F21AE2" w:rsidRDefault="008A160C" w:rsidP="004453CE">
            <w:pPr>
              <w:pStyle w:val="Binhthng1"/>
              <w:spacing w:before="120" w:after="120"/>
              <w:jc w:val="center"/>
              <w:rPr>
                <w:sz w:val="28"/>
                <w:szCs w:val="28"/>
              </w:rPr>
            </w:pPr>
            <w:r w:rsidRPr="00F21AE2">
              <w:rPr>
                <w:b/>
                <w:sz w:val="28"/>
                <w:szCs w:val="28"/>
              </w:rPr>
              <w:t>Vùng</w:t>
            </w:r>
          </w:p>
        </w:tc>
        <w:tc>
          <w:tcPr>
            <w:tcW w:w="1081" w:type="dxa"/>
            <w:vMerge w:val="restart"/>
          </w:tcPr>
          <w:p w14:paraId="5374A324" w14:textId="77777777" w:rsidR="00A51048" w:rsidRPr="00F21AE2" w:rsidRDefault="008A160C" w:rsidP="004453CE">
            <w:pPr>
              <w:pStyle w:val="Binhthng1"/>
              <w:spacing w:before="120" w:after="120"/>
              <w:jc w:val="center"/>
              <w:rPr>
                <w:sz w:val="28"/>
                <w:szCs w:val="28"/>
              </w:rPr>
            </w:pPr>
            <w:r w:rsidRPr="00F21AE2">
              <w:rPr>
                <w:b/>
                <w:sz w:val="28"/>
                <w:szCs w:val="28"/>
              </w:rPr>
              <w:t>Lương vùng</w:t>
            </w:r>
          </w:p>
        </w:tc>
        <w:tc>
          <w:tcPr>
            <w:tcW w:w="1187" w:type="dxa"/>
            <w:vMerge w:val="restart"/>
          </w:tcPr>
          <w:p w14:paraId="3CA3789D" w14:textId="77777777" w:rsidR="00A51048" w:rsidRPr="00F21AE2" w:rsidRDefault="008A160C" w:rsidP="004453CE">
            <w:pPr>
              <w:pStyle w:val="Binhthng1"/>
              <w:spacing w:before="120" w:after="120"/>
              <w:jc w:val="center"/>
              <w:rPr>
                <w:sz w:val="28"/>
                <w:szCs w:val="28"/>
              </w:rPr>
            </w:pPr>
            <w:r w:rsidRPr="00F21AE2">
              <w:rPr>
                <w:b/>
                <w:sz w:val="28"/>
                <w:szCs w:val="28"/>
              </w:rPr>
              <w:t>Bảo hiểm (23,5%)</w:t>
            </w:r>
          </w:p>
        </w:tc>
        <w:tc>
          <w:tcPr>
            <w:tcW w:w="1081" w:type="dxa"/>
            <w:vMerge w:val="restart"/>
          </w:tcPr>
          <w:p w14:paraId="66570563" w14:textId="77777777" w:rsidR="00A51048" w:rsidRPr="00F21AE2" w:rsidRDefault="008A160C" w:rsidP="004453CE">
            <w:pPr>
              <w:pStyle w:val="Binhthng1"/>
              <w:spacing w:before="120" w:after="120"/>
              <w:jc w:val="center"/>
              <w:rPr>
                <w:sz w:val="28"/>
                <w:szCs w:val="28"/>
              </w:rPr>
            </w:pPr>
            <w:r w:rsidRPr="00F21AE2">
              <w:rPr>
                <w:b/>
                <w:sz w:val="28"/>
                <w:szCs w:val="28"/>
              </w:rPr>
              <w:t>Lương nhân viên hợp đồng</w:t>
            </w:r>
          </w:p>
        </w:tc>
        <w:tc>
          <w:tcPr>
            <w:tcW w:w="5069" w:type="dxa"/>
            <w:gridSpan w:val="4"/>
          </w:tcPr>
          <w:p w14:paraId="33768573" w14:textId="77777777" w:rsidR="00A51048" w:rsidRPr="00F21AE2" w:rsidRDefault="008A160C" w:rsidP="004453CE">
            <w:pPr>
              <w:pStyle w:val="Binhthng1"/>
              <w:spacing w:before="120" w:after="120"/>
              <w:jc w:val="center"/>
              <w:rPr>
                <w:sz w:val="28"/>
                <w:szCs w:val="28"/>
              </w:rPr>
            </w:pPr>
            <w:r w:rsidRPr="00F21AE2">
              <w:rPr>
                <w:b/>
                <w:sz w:val="28"/>
                <w:szCs w:val="28"/>
              </w:rPr>
              <w:t>Mức thu/học sinh/tháng</w:t>
            </w:r>
          </w:p>
        </w:tc>
        <w:tc>
          <w:tcPr>
            <w:tcW w:w="2835" w:type="dxa"/>
            <w:gridSpan w:val="3"/>
          </w:tcPr>
          <w:p w14:paraId="64EA687D" w14:textId="77777777" w:rsidR="00A51048" w:rsidRPr="00F21AE2" w:rsidRDefault="008A160C" w:rsidP="004453CE">
            <w:pPr>
              <w:pStyle w:val="Binhthng1"/>
              <w:spacing w:before="120" w:after="120"/>
              <w:jc w:val="center"/>
              <w:rPr>
                <w:sz w:val="28"/>
                <w:szCs w:val="28"/>
              </w:rPr>
            </w:pPr>
            <w:r w:rsidRPr="00F21AE2">
              <w:rPr>
                <w:b/>
                <w:sz w:val="28"/>
                <w:szCs w:val="28"/>
              </w:rPr>
              <w:t>Mức thu NQ 24</w:t>
            </w:r>
          </w:p>
        </w:tc>
        <w:tc>
          <w:tcPr>
            <w:tcW w:w="2694" w:type="dxa"/>
            <w:gridSpan w:val="3"/>
          </w:tcPr>
          <w:p w14:paraId="0FB769D7" w14:textId="77777777" w:rsidR="00A51048" w:rsidRPr="00F21AE2" w:rsidRDefault="008A160C" w:rsidP="004453CE">
            <w:pPr>
              <w:pStyle w:val="Binhthng1"/>
              <w:spacing w:before="120" w:after="120"/>
              <w:jc w:val="center"/>
              <w:rPr>
                <w:sz w:val="28"/>
                <w:szCs w:val="28"/>
              </w:rPr>
            </w:pPr>
            <w:r w:rsidRPr="00F21AE2">
              <w:rPr>
                <w:b/>
                <w:sz w:val="28"/>
                <w:szCs w:val="28"/>
              </w:rPr>
              <w:t xml:space="preserve">So sánh mức tăng  </w:t>
            </w:r>
          </w:p>
        </w:tc>
      </w:tr>
      <w:tr w:rsidR="00F21AE2" w:rsidRPr="00F21AE2" w14:paraId="5DA4330F" w14:textId="77777777" w:rsidTr="00D66940">
        <w:trPr>
          <w:cantSplit/>
          <w:tblHeader/>
        </w:trPr>
        <w:tc>
          <w:tcPr>
            <w:tcW w:w="870" w:type="dxa"/>
            <w:vMerge/>
          </w:tcPr>
          <w:p w14:paraId="3D9A81C1" w14:textId="77777777" w:rsidR="00A51048" w:rsidRPr="00F21AE2" w:rsidRDefault="00A51048" w:rsidP="004453CE">
            <w:pPr>
              <w:pStyle w:val="Binhthng1"/>
              <w:widowControl w:val="0"/>
              <w:pBdr>
                <w:top w:val="nil"/>
                <w:left w:val="nil"/>
                <w:bottom w:val="nil"/>
                <w:right w:val="nil"/>
                <w:between w:val="nil"/>
              </w:pBdr>
              <w:spacing w:before="120" w:after="120"/>
              <w:rPr>
                <w:sz w:val="28"/>
                <w:szCs w:val="28"/>
              </w:rPr>
            </w:pPr>
          </w:p>
        </w:tc>
        <w:tc>
          <w:tcPr>
            <w:tcW w:w="1081" w:type="dxa"/>
            <w:vMerge/>
          </w:tcPr>
          <w:p w14:paraId="6B70AFEA" w14:textId="77777777" w:rsidR="00A51048" w:rsidRPr="00F21AE2" w:rsidRDefault="00A51048" w:rsidP="004453CE">
            <w:pPr>
              <w:pStyle w:val="Binhthng1"/>
              <w:widowControl w:val="0"/>
              <w:pBdr>
                <w:top w:val="nil"/>
                <w:left w:val="nil"/>
                <w:bottom w:val="nil"/>
                <w:right w:val="nil"/>
                <w:between w:val="nil"/>
              </w:pBdr>
              <w:spacing w:before="120" w:after="120"/>
              <w:rPr>
                <w:sz w:val="28"/>
                <w:szCs w:val="28"/>
              </w:rPr>
            </w:pPr>
          </w:p>
        </w:tc>
        <w:tc>
          <w:tcPr>
            <w:tcW w:w="1187" w:type="dxa"/>
            <w:vMerge/>
          </w:tcPr>
          <w:p w14:paraId="5D1985F0" w14:textId="77777777" w:rsidR="00A51048" w:rsidRPr="00F21AE2" w:rsidRDefault="00A51048" w:rsidP="004453CE">
            <w:pPr>
              <w:pStyle w:val="Binhthng1"/>
              <w:widowControl w:val="0"/>
              <w:pBdr>
                <w:top w:val="nil"/>
                <w:left w:val="nil"/>
                <w:bottom w:val="nil"/>
                <w:right w:val="nil"/>
                <w:between w:val="nil"/>
              </w:pBdr>
              <w:spacing w:before="120" w:after="120"/>
              <w:rPr>
                <w:sz w:val="28"/>
                <w:szCs w:val="28"/>
              </w:rPr>
            </w:pPr>
          </w:p>
        </w:tc>
        <w:tc>
          <w:tcPr>
            <w:tcW w:w="1081" w:type="dxa"/>
            <w:vMerge/>
          </w:tcPr>
          <w:p w14:paraId="3734319D" w14:textId="77777777" w:rsidR="00A51048" w:rsidRPr="00F21AE2" w:rsidRDefault="00A51048" w:rsidP="004453CE">
            <w:pPr>
              <w:pStyle w:val="Binhthng1"/>
              <w:widowControl w:val="0"/>
              <w:pBdr>
                <w:top w:val="nil"/>
                <w:left w:val="nil"/>
                <w:bottom w:val="nil"/>
                <w:right w:val="nil"/>
                <w:between w:val="nil"/>
              </w:pBdr>
              <w:spacing w:before="120" w:after="120"/>
              <w:rPr>
                <w:sz w:val="28"/>
                <w:szCs w:val="28"/>
              </w:rPr>
            </w:pPr>
          </w:p>
        </w:tc>
        <w:tc>
          <w:tcPr>
            <w:tcW w:w="1276" w:type="dxa"/>
          </w:tcPr>
          <w:p w14:paraId="68601D50" w14:textId="77777777" w:rsidR="00A51048" w:rsidRPr="00F21AE2" w:rsidRDefault="008A160C" w:rsidP="004453CE">
            <w:pPr>
              <w:pStyle w:val="Binhthng1"/>
              <w:spacing w:before="120" w:after="120"/>
              <w:jc w:val="center"/>
              <w:rPr>
                <w:sz w:val="28"/>
                <w:szCs w:val="28"/>
              </w:rPr>
            </w:pPr>
            <w:r w:rsidRPr="00F21AE2">
              <w:rPr>
                <w:b/>
                <w:sz w:val="28"/>
                <w:szCs w:val="28"/>
              </w:rPr>
              <w:t>TH</w:t>
            </w:r>
          </w:p>
          <w:p w14:paraId="4A5178A1" w14:textId="77777777" w:rsidR="00A51048" w:rsidRPr="00F21AE2" w:rsidRDefault="008A160C" w:rsidP="004453CE">
            <w:pPr>
              <w:pStyle w:val="Binhthng1"/>
              <w:spacing w:before="120" w:after="120"/>
              <w:jc w:val="center"/>
              <w:rPr>
                <w:sz w:val="28"/>
                <w:szCs w:val="28"/>
              </w:rPr>
            </w:pPr>
            <w:r w:rsidRPr="00F21AE2">
              <w:rPr>
                <w:b/>
                <w:sz w:val="28"/>
                <w:szCs w:val="28"/>
              </w:rPr>
              <w:t>(350 học sinh</w:t>
            </w:r>
          </w:p>
          <w:p w14:paraId="328D87EA" w14:textId="77777777" w:rsidR="00A51048" w:rsidRPr="00F21AE2" w:rsidRDefault="008A160C" w:rsidP="004453CE">
            <w:pPr>
              <w:pStyle w:val="Binhthng1"/>
              <w:spacing w:before="120" w:after="120"/>
              <w:jc w:val="center"/>
              <w:rPr>
                <w:sz w:val="28"/>
                <w:szCs w:val="28"/>
              </w:rPr>
            </w:pPr>
            <w:r w:rsidRPr="00F21AE2">
              <w:rPr>
                <w:b/>
                <w:sz w:val="28"/>
                <w:szCs w:val="28"/>
              </w:rPr>
              <w:t>/trường)</w:t>
            </w:r>
          </w:p>
        </w:tc>
        <w:tc>
          <w:tcPr>
            <w:tcW w:w="1275" w:type="dxa"/>
          </w:tcPr>
          <w:p w14:paraId="7AA3E429" w14:textId="77777777" w:rsidR="00A51048" w:rsidRPr="00F21AE2" w:rsidRDefault="008A160C" w:rsidP="004453CE">
            <w:pPr>
              <w:pStyle w:val="Binhthng1"/>
              <w:spacing w:before="120" w:after="120"/>
              <w:jc w:val="center"/>
              <w:rPr>
                <w:sz w:val="28"/>
                <w:szCs w:val="28"/>
              </w:rPr>
            </w:pPr>
            <w:r w:rsidRPr="00F21AE2">
              <w:rPr>
                <w:b/>
                <w:sz w:val="28"/>
                <w:szCs w:val="28"/>
              </w:rPr>
              <w:t xml:space="preserve">THCS </w:t>
            </w:r>
          </w:p>
          <w:p w14:paraId="7C74F605" w14:textId="77777777" w:rsidR="00A51048" w:rsidRPr="00F21AE2" w:rsidRDefault="008A160C" w:rsidP="004453CE">
            <w:pPr>
              <w:pStyle w:val="Binhthng1"/>
              <w:spacing w:before="120" w:after="120"/>
              <w:jc w:val="center"/>
              <w:rPr>
                <w:sz w:val="28"/>
                <w:szCs w:val="28"/>
              </w:rPr>
            </w:pPr>
            <w:r w:rsidRPr="00F21AE2">
              <w:rPr>
                <w:b/>
                <w:sz w:val="28"/>
                <w:szCs w:val="28"/>
              </w:rPr>
              <w:t>(360 học sinh/</w:t>
            </w:r>
          </w:p>
          <w:p w14:paraId="2E0F2B0F" w14:textId="77777777" w:rsidR="00A51048" w:rsidRPr="00F21AE2" w:rsidRDefault="008A160C" w:rsidP="004453CE">
            <w:pPr>
              <w:pStyle w:val="Binhthng1"/>
              <w:spacing w:before="120" w:after="120"/>
              <w:jc w:val="center"/>
              <w:rPr>
                <w:sz w:val="28"/>
                <w:szCs w:val="28"/>
              </w:rPr>
            </w:pPr>
            <w:r w:rsidRPr="00F21AE2">
              <w:rPr>
                <w:b/>
                <w:sz w:val="28"/>
                <w:szCs w:val="28"/>
              </w:rPr>
              <w:t>trường)</w:t>
            </w:r>
          </w:p>
        </w:tc>
        <w:tc>
          <w:tcPr>
            <w:tcW w:w="1276" w:type="dxa"/>
          </w:tcPr>
          <w:p w14:paraId="16F3A110" w14:textId="77777777" w:rsidR="00A51048" w:rsidRPr="00F21AE2" w:rsidRDefault="008A160C" w:rsidP="004453CE">
            <w:pPr>
              <w:pStyle w:val="Binhthng1"/>
              <w:spacing w:before="120" w:after="120"/>
              <w:jc w:val="center"/>
              <w:rPr>
                <w:sz w:val="28"/>
                <w:szCs w:val="28"/>
              </w:rPr>
            </w:pPr>
            <w:r w:rsidRPr="00F21AE2">
              <w:rPr>
                <w:b/>
                <w:sz w:val="28"/>
                <w:szCs w:val="28"/>
              </w:rPr>
              <w:t>THPT, trường PT có nhiều cấp học (675 học sinh/</w:t>
            </w:r>
          </w:p>
          <w:p w14:paraId="1B76A8A6" w14:textId="77777777" w:rsidR="00A51048" w:rsidRPr="00F21AE2" w:rsidRDefault="008A160C" w:rsidP="004453CE">
            <w:pPr>
              <w:pStyle w:val="Binhthng1"/>
              <w:spacing w:before="120" w:after="120"/>
              <w:jc w:val="center"/>
              <w:rPr>
                <w:sz w:val="28"/>
                <w:szCs w:val="28"/>
              </w:rPr>
            </w:pPr>
            <w:r w:rsidRPr="00F21AE2">
              <w:rPr>
                <w:b/>
                <w:sz w:val="28"/>
                <w:szCs w:val="28"/>
              </w:rPr>
              <w:t>trường)</w:t>
            </w:r>
          </w:p>
        </w:tc>
        <w:tc>
          <w:tcPr>
            <w:tcW w:w="1242" w:type="dxa"/>
          </w:tcPr>
          <w:p w14:paraId="3230A6DF" w14:textId="77777777" w:rsidR="00A51048" w:rsidRPr="00F21AE2" w:rsidRDefault="008A160C" w:rsidP="004453CE">
            <w:pPr>
              <w:pStyle w:val="Binhthng1"/>
              <w:spacing w:before="120" w:after="120"/>
              <w:jc w:val="center"/>
              <w:rPr>
                <w:sz w:val="28"/>
                <w:szCs w:val="28"/>
              </w:rPr>
            </w:pPr>
            <w:r w:rsidRPr="00F21AE2">
              <w:rPr>
                <w:b/>
                <w:sz w:val="28"/>
                <w:szCs w:val="28"/>
              </w:rPr>
              <w:t>Trung tâm GDTX</w:t>
            </w:r>
          </w:p>
          <w:p w14:paraId="0F7E8631" w14:textId="77777777" w:rsidR="00A51048" w:rsidRPr="00F21AE2" w:rsidRDefault="008A160C" w:rsidP="004453CE">
            <w:pPr>
              <w:pStyle w:val="Binhthng1"/>
              <w:spacing w:before="120" w:after="120"/>
              <w:jc w:val="center"/>
              <w:rPr>
                <w:sz w:val="28"/>
                <w:szCs w:val="28"/>
              </w:rPr>
            </w:pPr>
            <w:r w:rsidRPr="00F21AE2">
              <w:rPr>
                <w:b/>
                <w:sz w:val="28"/>
                <w:szCs w:val="28"/>
              </w:rPr>
              <w:t>(675 học sinh/</w:t>
            </w:r>
          </w:p>
          <w:p w14:paraId="03EEBCBA" w14:textId="77777777" w:rsidR="00A51048" w:rsidRPr="00F21AE2" w:rsidRDefault="008A160C" w:rsidP="004453CE">
            <w:pPr>
              <w:pStyle w:val="Binhthng1"/>
              <w:spacing w:before="120" w:after="120"/>
              <w:jc w:val="center"/>
              <w:rPr>
                <w:sz w:val="28"/>
                <w:szCs w:val="28"/>
              </w:rPr>
            </w:pPr>
            <w:r w:rsidRPr="00F21AE2">
              <w:rPr>
                <w:b/>
                <w:sz w:val="28"/>
                <w:szCs w:val="28"/>
              </w:rPr>
              <w:t>trường)</w:t>
            </w:r>
          </w:p>
        </w:tc>
        <w:tc>
          <w:tcPr>
            <w:tcW w:w="850" w:type="dxa"/>
          </w:tcPr>
          <w:p w14:paraId="78CAE483" w14:textId="77777777" w:rsidR="00A51048" w:rsidRPr="00F21AE2" w:rsidRDefault="008A160C" w:rsidP="004453CE">
            <w:pPr>
              <w:pStyle w:val="Binhthng1"/>
              <w:spacing w:before="120" w:after="120"/>
              <w:jc w:val="center"/>
              <w:rPr>
                <w:sz w:val="28"/>
                <w:szCs w:val="28"/>
              </w:rPr>
            </w:pPr>
            <w:r w:rsidRPr="00F21AE2">
              <w:rPr>
                <w:b/>
                <w:sz w:val="28"/>
                <w:szCs w:val="28"/>
              </w:rPr>
              <w:t>TH</w:t>
            </w:r>
          </w:p>
        </w:tc>
        <w:tc>
          <w:tcPr>
            <w:tcW w:w="993" w:type="dxa"/>
          </w:tcPr>
          <w:p w14:paraId="1AAD7798" w14:textId="77777777" w:rsidR="00A51048" w:rsidRPr="00F21AE2" w:rsidRDefault="008A160C" w:rsidP="004453CE">
            <w:pPr>
              <w:pStyle w:val="Binhthng1"/>
              <w:spacing w:before="120" w:after="120"/>
              <w:jc w:val="center"/>
              <w:rPr>
                <w:sz w:val="28"/>
                <w:szCs w:val="28"/>
              </w:rPr>
            </w:pPr>
            <w:r w:rsidRPr="00F21AE2">
              <w:rPr>
                <w:b/>
                <w:sz w:val="28"/>
                <w:szCs w:val="28"/>
              </w:rPr>
              <w:t>THCS</w:t>
            </w:r>
          </w:p>
        </w:tc>
        <w:tc>
          <w:tcPr>
            <w:tcW w:w="992" w:type="dxa"/>
          </w:tcPr>
          <w:p w14:paraId="0BD1BB64" w14:textId="77777777" w:rsidR="00A51048" w:rsidRPr="00F21AE2" w:rsidRDefault="008A160C" w:rsidP="004453CE">
            <w:pPr>
              <w:pStyle w:val="Binhthng1"/>
              <w:spacing w:before="120" w:after="120"/>
              <w:jc w:val="center"/>
              <w:rPr>
                <w:sz w:val="28"/>
                <w:szCs w:val="28"/>
              </w:rPr>
            </w:pPr>
            <w:r w:rsidRPr="00F21AE2">
              <w:rPr>
                <w:b/>
                <w:sz w:val="28"/>
                <w:szCs w:val="28"/>
              </w:rPr>
              <w:t>THPT</w:t>
            </w:r>
          </w:p>
        </w:tc>
        <w:tc>
          <w:tcPr>
            <w:tcW w:w="709" w:type="dxa"/>
          </w:tcPr>
          <w:p w14:paraId="080EB583" w14:textId="77777777" w:rsidR="00A51048" w:rsidRPr="00F21AE2" w:rsidRDefault="008A160C" w:rsidP="004453CE">
            <w:pPr>
              <w:pStyle w:val="Binhthng1"/>
              <w:spacing w:before="120" w:after="120"/>
              <w:jc w:val="center"/>
              <w:rPr>
                <w:sz w:val="28"/>
                <w:szCs w:val="28"/>
              </w:rPr>
            </w:pPr>
            <w:r w:rsidRPr="00F21AE2">
              <w:rPr>
                <w:b/>
                <w:sz w:val="28"/>
                <w:szCs w:val="28"/>
              </w:rPr>
              <w:t>TH</w:t>
            </w:r>
          </w:p>
        </w:tc>
        <w:tc>
          <w:tcPr>
            <w:tcW w:w="992" w:type="dxa"/>
          </w:tcPr>
          <w:p w14:paraId="37560F53" w14:textId="77777777" w:rsidR="00A51048" w:rsidRPr="00F21AE2" w:rsidRDefault="008A160C" w:rsidP="004453CE">
            <w:pPr>
              <w:pStyle w:val="Binhthng1"/>
              <w:spacing w:before="120" w:after="120"/>
              <w:jc w:val="center"/>
              <w:rPr>
                <w:sz w:val="28"/>
                <w:szCs w:val="28"/>
              </w:rPr>
            </w:pPr>
            <w:r w:rsidRPr="00F21AE2">
              <w:rPr>
                <w:b/>
                <w:sz w:val="28"/>
                <w:szCs w:val="28"/>
              </w:rPr>
              <w:t>THCS</w:t>
            </w:r>
          </w:p>
        </w:tc>
        <w:tc>
          <w:tcPr>
            <w:tcW w:w="993" w:type="dxa"/>
          </w:tcPr>
          <w:p w14:paraId="7B96A77C" w14:textId="77777777" w:rsidR="00A51048" w:rsidRPr="00F21AE2" w:rsidRDefault="008A160C" w:rsidP="004453CE">
            <w:pPr>
              <w:pStyle w:val="Binhthng1"/>
              <w:spacing w:before="120" w:after="120"/>
              <w:jc w:val="center"/>
              <w:rPr>
                <w:sz w:val="28"/>
                <w:szCs w:val="28"/>
              </w:rPr>
            </w:pPr>
            <w:r w:rsidRPr="00F21AE2">
              <w:rPr>
                <w:b/>
                <w:sz w:val="28"/>
                <w:szCs w:val="28"/>
              </w:rPr>
              <w:t>THPT</w:t>
            </w:r>
          </w:p>
        </w:tc>
      </w:tr>
      <w:tr w:rsidR="00F21AE2" w:rsidRPr="00F21AE2" w14:paraId="299C4098" w14:textId="77777777" w:rsidTr="00D66940">
        <w:trPr>
          <w:cantSplit/>
          <w:tblHeader/>
        </w:trPr>
        <w:tc>
          <w:tcPr>
            <w:tcW w:w="870" w:type="dxa"/>
          </w:tcPr>
          <w:p w14:paraId="7F47BFC1" w14:textId="77777777" w:rsidR="00A51048" w:rsidRPr="00F21AE2" w:rsidRDefault="008A160C" w:rsidP="004453CE">
            <w:pPr>
              <w:pStyle w:val="Binhthng1"/>
              <w:spacing w:before="120" w:after="120"/>
              <w:jc w:val="center"/>
              <w:rPr>
                <w:sz w:val="22"/>
                <w:szCs w:val="22"/>
              </w:rPr>
            </w:pPr>
            <w:r w:rsidRPr="00F21AE2">
              <w:rPr>
                <w:i/>
                <w:sz w:val="22"/>
                <w:szCs w:val="22"/>
              </w:rPr>
              <w:t>(1)</w:t>
            </w:r>
          </w:p>
        </w:tc>
        <w:tc>
          <w:tcPr>
            <w:tcW w:w="1081" w:type="dxa"/>
          </w:tcPr>
          <w:p w14:paraId="7E94523C" w14:textId="77777777" w:rsidR="00A51048" w:rsidRPr="00F21AE2" w:rsidRDefault="008A160C" w:rsidP="004453CE">
            <w:pPr>
              <w:pStyle w:val="Binhthng1"/>
              <w:spacing w:before="120" w:after="120"/>
              <w:jc w:val="center"/>
              <w:rPr>
                <w:sz w:val="22"/>
                <w:szCs w:val="22"/>
              </w:rPr>
            </w:pPr>
            <w:r w:rsidRPr="00F21AE2">
              <w:rPr>
                <w:i/>
                <w:sz w:val="22"/>
                <w:szCs w:val="22"/>
              </w:rPr>
              <w:t>(2)</w:t>
            </w:r>
          </w:p>
        </w:tc>
        <w:tc>
          <w:tcPr>
            <w:tcW w:w="1187" w:type="dxa"/>
          </w:tcPr>
          <w:p w14:paraId="1B23C30E" w14:textId="77777777" w:rsidR="00A51048" w:rsidRPr="00F21AE2" w:rsidRDefault="008A160C" w:rsidP="004453CE">
            <w:pPr>
              <w:pStyle w:val="Binhthng1"/>
              <w:spacing w:before="120" w:after="120"/>
              <w:jc w:val="center"/>
              <w:rPr>
                <w:sz w:val="22"/>
                <w:szCs w:val="22"/>
              </w:rPr>
            </w:pPr>
            <w:r w:rsidRPr="00F21AE2">
              <w:rPr>
                <w:i/>
                <w:sz w:val="22"/>
                <w:szCs w:val="22"/>
              </w:rPr>
              <w:t>(3)</w:t>
            </w:r>
          </w:p>
        </w:tc>
        <w:tc>
          <w:tcPr>
            <w:tcW w:w="1081" w:type="dxa"/>
          </w:tcPr>
          <w:p w14:paraId="45FEC248" w14:textId="77777777" w:rsidR="00A51048" w:rsidRPr="00F21AE2" w:rsidRDefault="008A160C" w:rsidP="004453CE">
            <w:pPr>
              <w:pStyle w:val="Binhthng1"/>
              <w:spacing w:before="120" w:after="120"/>
              <w:jc w:val="center"/>
              <w:rPr>
                <w:sz w:val="22"/>
                <w:szCs w:val="22"/>
              </w:rPr>
            </w:pPr>
            <w:r w:rsidRPr="00F21AE2">
              <w:rPr>
                <w:i/>
                <w:sz w:val="22"/>
                <w:szCs w:val="22"/>
              </w:rPr>
              <w:t>(4)=(2)+(3)</w:t>
            </w:r>
          </w:p>
        </w:tc>
        <w:tc>
          <w:tcPr>
            <w:tcW w:w="1276" w:type="dxa"/>
          </w:tcPr>
          <w:p w14:paraId="597027F6" w14:textId="77777777" w:rsidR="00A51048" w:rsidRPr="00F21AE2" w:rsidRDefault="008A160C" w:rsidP="004453CE">
            <w:pPr>
              <w:pStyle w:val="Binhthng1"/>
              <w:spacing w:before="120" w:after="120"/>
              <w:jc w:val="center"/>
              <w:rPr>
                <w:sz w:val="22"/>
                <w:szCs w:val="22"/>
              </w:rPr>
            </w:pPr>
            <w:r w:rsidRPr="00F21AE2">
              <w:rPr>
                <w:i/>
                <w:sz w:val="22"/>
                <w:szCs w:val="22"/>
              </w:rPr>
              <w:t>(5)=</w:t>
            </w:r>
          </w:p>
          <w:p w14:paraId="3EB9E01C" w14:textId="77777777" w:rsidR="00A51048" w:rsidRPr="00F21AE2" w:rsidRDefault="008A160C" w:rsidP="004453CE">
            <w:pPr>
              <w:pStyle w:val="Binhthng1"/>
              <w:spacing w:before="120" w:after="120"/>
              <w:jc w:val="center"/>
              <w:rPr>
                <w:sz w:val="22"/>
                <w:szCs w:val="22"/>
              </w:rPr>
            </w:pPr>
            <w:r w:rsidRPr="00F21AE2">
              <w:rPr>
                <w:i/>
                <w:sz w:val="22"/>
                <w:szCs w:val="22"/>
              </w:rPr>
              <w:t>(4)/350</w:t>
            </w:r>
          </w:p>
        </w:tc>
        <w:tc>
          <w:tcPr>
            <w:tcW w:w="1275" w:type="dxa"/>
          </w:tcPr>
          <w:p w14:paraId="7BD7608B" w14:textId="77777777" w:rsidR="00A51048" w:rsidRPr="00F21AE2" w:rsidRDefault="008A160C" w:rsidP="004453CE">
            <w:pPr>
              <w:pStyle w:val="Binhthng1"/>
              <w:spacing w:before="120" w:after="120"/>
              <w:jc w:val="center"/>
              <w:rPr>
                <w:sz w:val="22"/>
                <w:szCs w:val="22"/>
              </w:rPr>
            </w:pPr>
            <w:r w:rsidRPr="00F21AE2">
              <w:rPr>
                <w:i/>
                <w:sz w:val="22"/>
                <w:szCs w:val="22"/>
              </w:rPr>
              <w:t>(6)=</w:t>
            </w:r>
          </w:p>
          <w:p w14:paraId="109FB48D" w14:textId="77777777" w:rsidR="00A51048" w:rsidRPr="00F21AE2" w:rsidRDefault="008A160C" w:rsidP="004453CE">
            <w:pPr>
              <w:pStyle w:val="Binhthng1"/>
              <w:spacing w:before="120" w:after="120"/>
              <w:jc w:val="center"/>
              <w:rPr>
                <w:sz w:val="22"/>
                <w:szCs w:val="22"/>
              </w:rPr>
            </w:pPr>
            <w:r w:rsidRPr="00F21AE2">
              <w:rPr>
                <w:i/>
                <w:sz w:val="22"/>
                <w:szCs w:val="22"/>
              </w:rPr>
              <w:t>(4)/360</w:t>
            </w:r>
          </w:p>
        </w:tc>
        <w:tc>
          <w:tcPr>
            <w:tcW w:w="1276" w:type="dxa"/>
          </w:tcPr>
          <w:p w14:paraId="59DE4908" w14:textId="77777777" w:rsidR="00A51048" w:rsidRPr="00F21AE2" w:rsidRDefault="008A160C" w:rsidP="004453CE">
            <w:pPr>
              <w:pStyle w:val="Binhthng1"/>
              <w:spacing w:before="120" w:after="120"/>
              <w:jc w:val="center"/>
              <w:rPr>
                <w:sz w:val="22"/>
                <w:szCs w:val="22"/>
              </w:rPr>
            </w:pPr>
            <w:r w:rsidRPr="00F21AE2">
              <w:rPr>
                <w:i/>
                <w:sz w:val="22"/>
                <w:szCs w:val="22"/>
              </w:rPr>
              <w:t>(7)=</w:t>
            </w:r>
          </w:p>
          <w:p w14:paraId="3FA4A082" w14:textId="77777777" w:rsidR="00A51048" w:rsidRPr="00F21AE2" w:rsidRDefault="008A160C" w:rsidP="004453CE">
            <w:pPr>
              <w:pStyle w:val="Binhthng1"/>
              <w:spacing w:before="120" w:after="120"/>
              <w:jc w:val="center"/>
              <w:rPr>
                <w:sz w:val="22"/>
                <w:szCs w:val="22"/>
              </w:rPr>
            </w:pPr>
            <w:r w:rsidRPr="00F21AE2">
              <w:rPr>
                <w:i/>
                <w:sz w:val="22"/>
                <w:szCs w:val="22"/>
              </w:rPr>
              <w:t>(4)/675</w:t>
            </w:r>
          </w:p>
        </w:tc>
        <w:tc>
          <w:tcPr>
            <w:tcW w:w="1242" w:type="dxa"/>
          </w:tcPr>
          <w:p w14:paraId="29AE6495" w14:textId="77777777" w:rsidR="00A51048" w:rsidRPr="00F21AE2" w:rsidRDefault="008A160C" w:rsidP="004453CE">
            <w:pPr>
              <w:pStyle w:val="Binhthng1"/>
              <w:spacing w:before="120" w:after="120"/>
              <w:jc w:val="center"/>
              <w:rPr>
                <w:sz w:val="22"/>
                <w:szCs w:val="22"/>
              </w:rPr>
            </w:pPr>
            <w:r w:rsidRPr="00F21AE2">
              <w:rPr>
                <w:i/>
                <w:sz w:val="22"/>
                <w:szCs w:val="22"/>
              </w:rPr>
              <w:t>(8)=</w:t>
            </w:r>
          </w:p>
          <w:p w14:paraId="22557B4D" w14:textId="77777777" w:rsidR="00A51048" w:rsidRPr="00F21AE2" w:rsidRDefault="008A160C" w:rsidP="004453CE">
            <w:pPr>
              <w:pStyle w:val="Binhthng1"/>
              <w:spacing w:before="120" w:after="120"/>
              <w:jc w:val="center"/>
              <w:rPr>
                <w:sz w:val="22"/>
                <w:szCs w:val="22"/>
              </w:rPr>
            </w:pPr>
            <w:r w:rsidRPr="00F21AE2">
              <w:rPr>
                <w:i/>
                <w:sz w:val="22"/>
                <w:szCs w:val="22"/>
              </w:rPr>
              <w:t>(4)/675</w:t>
            </w:r>
          </w:p>
        </w:tc>
        <w:tc>
          <w:tcPr>
            <w:tcW w:w="850" w:type="dxa"/>
          </w:tcPr>
          <w:p w14:paraId="44680447" w14:textId="77777777" w:rsidR="00A51048" w:rsidRPr="00F21AE2" w:rsidRDefault="008A160C" w:rsidP="004453CE">
            <w:pPr>
              <w:pStyle w:val="Binhthng1"/>
              <w:spacing w:before="120" w:after="120"/>
              <w:jc w:val="center"/>
              <w:rPr>
                <w:sz w:val="22"/>
                <w:szCs w:val="22"/>
              </w:rPr>
            </w:pPr>
            <w:r w:rsidRPr="00F21AE2">
              <w:rPr>
                <w:i/>
                <w:sz w:val="22"/>
                <w:szCs w:val="22"/>
              </w:rPr>
              <w:t>(9)</w:t>
            </w:r>
          </w:p>
        </w:tc>
        <w:tc>
          <w:tcPr>
            <w:tcW w:w="993" w:type="dxa"/>
          </w:tcPr>
          <w:p w14:paraId="6578E052" w14:textId="77777777" w:rsidR="00A51048" w:rsidRPr="00F21AE2" w:rsidRDefault="008A160C" w:rsidP="004453CE">
            <w:pPr>
              <w:pStyle w:val="Binhthng1"/>
              <w:spacing w:before="120" w:after="120"/>
              <w:jc w:val="center"/>
              <w:rPr>
                <w:sz w:val="22"/>
                <w:szCs w:val="22"/>
              </w:rPr>
            </w:pPr>
            <w:r w:rsidRPr="00F21AE2">
              <w:rPr>
                <w:i/>
                <w:sz w:val="22"/>
                <w:szCs w:val="22"/>
              </w:rPr>
              <w:t>(10)</w:t>
            </w:r>
          </w:p>
        </w:tc>
        <w:tc>
          <w:tcPr>
            <w:tcW w:w="992" w:type="dxa"/>
          </w:tcPr>
          <w:p w14:paraId="6942A365" w14:textId="77777777" w:rsidR="00A51048" w:rsidRPr="00F21AE2" w:rsidRDefault="008A160C" w:rsidP="004453CE">
            <w:pPr>
              <w:pStyle w:val="Binhthng1"/>
              <w:spacing w:before="120" w:after="120"/>
              <w:jc w:val="center"/>
              <w:rPr>
                <w:sz w:val="22"/>
                <w:szCs w:val="22"/>
              </w:rPr>
            </w:pPr>
            <w:r w:rsidRPr="00F21AE2">
              <w:rPr>
                <w:i/>
                <w:sz w:val="22"/>
                <w:szCs w:val="22"/>
              </w:rPr>
              <w:t>(11)</w:t>
            </w:r>
          </w:p>
        </w:tc>
        <w:tc>
          <w:tcPr>
            <w:tcW w:w="709" w:type="dxa"/>
          </w:tcPr>
          <w:p w14:paraId="3C835254" w14:textId="77777777" w:rsidR="00A51048" w:rsidRPr="00F21AE2" w:rsidRDefault="008A160C" w:rsidP="004453CE">
            <w:pPr>
              <w:pStyle w:val="Binhthng1"/>
              <w:spacing w:before="120" w:after="120"/>
              <w:jc w:val="center"/>
              <w:rPr>
                <w:sz w:val="22"/>
                <w:szCs w:val="22"/>
              </w:rPr>
            </w:pPr>
            <w:r w:rsidRPr="00F21AE2">
              <w:rPr>
                <w:i/>
                <w:sz w:val="22"/>
                <w:szCs w:val="22"/>
              </w:rPr>
              <w:t>(12)</w:t>
            </w:r>
          </w:p>
        </w:tc>
        <w:tc>
          <w:tcPr>
            <w:tcW w:w="992" w:type="dxa"/>
          </w:tcPr>
          <w:p w14:paraId="14FA24EE" w14:textId="77777777" w:rsidR="00A51048" w:rsidRPr="00F21AE2" w:rsidRDefault="008A160C" w:rsidP="004453CE">
            <w:pPr>
              <w:pStyle w:val="Binhthng1"/>
              <w:spacing w:before="120" w:after="120"/>
              <w:jc w:val="center"/>
              <w:rPr>
                <w:sz w:val="22"/>
                <w:szCs w:val="22"/>
              </w:rPr>
            </w:pPr>
            <w:r w:rsidRPr="00F21AE2">
              <w:rPr>
                <w:i/>
                <w:sz w:val="22"/>
                <w:szCs w:val="22"/>
              </w:rPr>
              <w:t>(13)</w:t>
            </w:r>
          </w:p>
        </w:tc>
        <w:tc>
          <w:tcPr>
            <w:tcW w:w="993" w:type="dxa"/>
          </w:tcPr>
          <w:p w14:paraId="5B676BB7" w14:textId="77777777" w:rsidR="00A51048" w:rsidRPr="00F21AE2" w:rsidRDefault="008A160C" w:rsidP="004453CE">
            <w:pPr>
              <w:pStyle w:val="Binhthng1"/>
              <w:spacing w:before="120" w:after="120"/>
              <w:jc w:val="center"/>
              <w:rPr>
                <w:sz w:val="22"/>
                <w:szCs w:val="22"/>
              </w:rPr>
            </w:pPr>
            <w:r w:rsidRPr="00F21AE2">
              <w:rPr>
                <w:i/>
                <w:sz w:val="22"/>
                <w:szCs w:val="22"/>
              </w:rPr>
              <w:t>(14)</w:t>
            </w:r>
          </w:p>
        </w:tc>
      </w:tr>
      <w:tr w:rsidR="00F21AE2" w:rsidRPr="00F21AE2" w14:paraId="025DCFF2" w14:textId="77777777" w:rsidTr="00D66940">
        <w:trPr>
          <w:cantSplit/>
          <w:tblHeader/>
        </w:trPr>
        <w:tc>
          <w:tcPr>
            <w:tcW w:w="870" w:type="dxa"/>
          </w:tcPr>
          <w:p w14:paraId="6A66DD62" w14:textId="77777777" w:rsidR="00A51048" w:rsidRPr="00F21AE2" w:rsidRDefault="008A160C" w:rsidP="004453CE">
            <w:pPr>
              <w:pStyle w:val="Binhthng1"/>
              <w:spacing w:before="120" w:after="120"/>
              <w:jc w:val="both"/>
              <w:rPr>
                <w:sz w:val="28"/>
                <w:szCs w:val="28"/>
              </w:rPr>
            </w:pPr>
            <w:r w:rsidRPr="00F21AE2">
              <w:rPr>
                <w:sz w:val="28"/>
                <w:szCs w:val="28"/>
              </w:rPr>
              <w:t>II</w:t>
            </w:r>
          </w:p>
        </w:tc>
        <w:tc>
          <w:tcPr>
            <w:tcW w:w="1081" w:type="dxa"/>
          </w:tcPr>
          <w:p w14:paraId="0747F476" w14:textId="77777777" w:rsidR="00A51048" w:rsidRPr="00F21AE2" w:rsidRDefault="008A160C" w:rsidP="004453CE">
            <w:pPr>
              <w:pStyle w:val="Binhthng1"/>
              <w:spacing w:before="120" w:after="120"/>
              <w:jc w:val="right"/>
              <w:rPr>
                <w:sz w:val="28"/>
                <w:szCs w:val="28"/>
              </w:rPr>
            </w:pPr>
            <w:r w:rsidRPr="00F21AE2">
              <w:rPr>
                <w:sz w:val="28"/>
                <w:szCs w:val="28"/>
              </w:rPr>
              <w:t>4.410</w:t>
            </w:r>
          </w:p>
        </w:tc>
        <w:tc>
          <w:tcPr>
            <w:tcW w:w="1187" w:type="dxa"/>
          </w:tcPr>
          <w:p w14:paraId="6E7A1002" w14:textId="77777777" w:rsidR="00A51048" w:rsidRPr="00F21AE2" w:rsidRDefault="008A160C" w:rsidP="004453CE">
            <w:pPr>
              <w:pStyle w:val="Binhthng1"/>
              <w:spacing w:before="120" w:after="120"/>
              <w:jc w:val="right"/>
              <w:rPr>
                <w:sz w:val="28"/>
                <w:szCs w:val="28"/>
              </w:rPr>
            </w:pPr>
            <w:r w:rsidRPr="00F21AE2">
              <w:rPr>
                <w:sz w:val="28"/>
                <w:szCs w:val="28"/>
              </w:rPr>
              <w:t>1.036</w:t>
            </w:r>
          </w:p>
        </w:tc>
        <w:tc>
          <w:tcPr>
            <w:tcW w:w="1081" w:type="dxa"/>
          </w:tcPr>
          <w:p w14:paraId="5BC4FEF5" w14:textId="77777777" w:rsidR="00A51048" w:rsidRPr="00F21AE2" w:rsidRDefault="008A160C" w:rsidP="004453CE">
            <w:pPr>
              <w:pStyle w:val="Binhthng1"/>
              <w:spacing w:before="120" w:after="120"/>
              <w:jc w:val="right"/>
              <w:rPr>
                <w:sz w:val="28"/>
                <w:szCs w:val="28"/>
              </w:rPr>
            </w:pPr>
            <w:r w:rsidRPr="00F21AE2">
              <w:rPr>
                <w:sz w:val="28"/>
                <w:szCs w:val="28"/>
              </w:rPr>
              <w:t>5.446</w:t>
            </w:r>
          </w:p>
        </w:tc>
        <w:tc>
          <w:tcPr>
            <w:tcW w:w="1276" w:type="dxa"/>
          </w:tcPr>
          <w:p w14:paraId="2F75DBF0" w14:textId="77777777" w:rsidR="00A51048" w:rsidRPr="00F21AE2" w:rsidRDefault="008A160C" w:rsidP="004453CE">
            <w:pPr>
              <w:pStyle w:val="Binhthng1"/>
              <w:spacing w:before="120" w:after="120"/>
              <w:jc w:val="right"/>
              <w:rPr>
                <w:sz w:val="28"/>
                <w:szCs w:val="28"/>
              </w:rPr>
            </w:pPr>
            <w:r w:rsidRPr="00F21AE2">
              <w:rPr>
                <w:sz w:val="28"/>
                <w:szCs w:val="28"/>
              </w:rPr>
              <w:t>16</w:t>
            </w:r>
          </w:p>
        </w:tc>
        <w:tc>
          <w:tcPr>
            <w:tcW w:w="1275" w:type="dxa"/>
          </w:tcPr>
          <w:p w14:paraId="57836558" w14:textId="77777777" w:rsidR="00A51048" w:rsidRPr="00F21AE2" w:rsidRDefault="008A160C" w:rsidP="004453CE">
            <w:pPr>
              <w:pStyle w:val="Binhthng1"/>
              <w:spacing w:before="120" w:after="120"/>
              <w:jc w:val="right"/>
              <w:rPr>
                <w:sz w:val="28"/>
                <w:szCs w:val="28"/>
              </w:rPr>
            </w:pPr>
            <w:r w:rsidRPr="00F21AE2">
              <w:rPr>
                <w:sz w:val="28"/>
                <w:szCs w:val="28"/>
              </w:rPr>
              <w:t>15</w:t>
            </w:r>
          </w:p>
        </w:tc>
        <w:tc>
          <w:tcPr>
            <w:tcW w:w="1276" w:type="dxa"/>
          </w:tcPr>
          <w:p w14:paraId="66D3D508" w14:textId="77777777" w:rsidR="00A51048" w:rsidRPr="00F21AE2" w:rsidRDefault="008A160C" w:rsidP="004453CE">
            <w:pPr>
              <w:pStyle w:val="Binhthng1"/>
              <w:spacing w:before="120" w:after="120"/>
              <w:jc w:val="right"/>
              <w:rPr>
                <w:sz w:val="28"/>
                <w:szCs w:val="28"/>
              </w:rPr>
            </w:pPr>
            <w:r w:rsidRPr="00F21AE2">
              <w:rPr>
                <w:sz w:val="28"/>
                <w:szCs w:val="28"/>
              </w:rPr>
              <w:t>8</w:t>
            </w:r>
          </w:p>
        </w:tc>
        <w:tc>
          <w:tcPr>
            <w:tcW w:w="1242" w:type="dxa"/>
          </w:tcPr>
          <w:p w14:paraId="67A07B9B" w14:textId="77777777" w:rsidR="00A51048" w:rsidRPr="00F21AE2" w:rsidRDefault="008A160C" w:rsidP="004453CE">
            <w:pPr>
              <w:pStyle w:val="Binhthng1"/>
              <w:spacing w:before="120" w:after="120"/>
              <w:jc w:val="right"/>
              <w:rPr>
                <w:sz w:val="28"/>
                <w:szCs w:val="28"/>
              </w:rPr>
            </w:pPr>
            <w:r w:rsidRPr="00F21AE2">
              <w:rPr>
                <w:sz w:val="28"/>
                <w:szCs w:val="28"/>
              </w:rPr>
              <w:t>8</w:t>
            </w:r>
          </w:p>
        </w:tc>
        <w:tc>
          <w:tcPr>
            <w:tcW w:w="850" w:type="dxa"/>
          </w:tcPr>
          <w:p w14:paraId="12B2D223" w14:textId="77777777" w:rsidR="00A51048" w:rsidRPr="00F21AE2" w:rsidRDefault="008A160C" w:rsidP="004453CE">
            <w:pPr>
              <w:pStyle w:val="Binhthng1"/>
              <w:spacing w:before="120" w:after="120"/>
              <w:jc w:val="right"/>
              <w:rPr>
                <w:sz w:val="28"/>
                <w:szCs w:val="28"/>
              </w:rPr>
            </w:pPr>
            <w:r w:rsidRPr="00F21AE2">
              <w:rPr>
                <w:sz w:val="28"/>
                <w:szCs w:val="28"/>
              </w:rPr>
              <w:t>8</w:t>
            </w:r>
          </w:p>
        </w:tc>
        <w:tc>
          <w:tcPr>
            <w:tcW w:w="993" w:type="dxa"/>
          </w:tcPr>
          <w:p w14:paraId="7134409C" w14:textId="77777777" w:rsidR="00A51048" w:rsidRPr="00F21AE2" w:rsidRDefault="008A160C" w:rsidP="004453CE">
            <w:pPr>
              <w:pStyle w:val="Binhthng1"/>
              <w:spacing w:before="120" w:after="120"/>
              <w:jc w:val="right"/>
              <w:rPr>
                <w:sz w:val="28"/>
                <w:szCs w:val="28"/>
              </w:rPr>
            </w:pPr>
            <w:r w:rsidRPr="00F21AE2">
              <w:rPr>
                <w:sz w:val="28"/>
                <w:szCs w:val="28"/>
              </w:rPr>
              <w:t>6</w:t>
            </w:r>
          </w:p>
        </w:tc>
        <w:tc>
          <w:tcPr>
            <w:tcW w:w="992" w:type="dxa"/>
          </w:tcPr>
          <w:p w14:paraId="7C9F8DD7" w14:textId="77777777" w:rsidR="00A51048" w:rsidRPr="00F21AE2" w:rsidRDefault="008A160C" w:rsidP="004453CE">
            <w:pPr>
              <w:pStyle w:val="Binhthng1"/>
              <w:spacing w:before="120" w:after="120"/>
              <w:jc w:val="right"/>
              <w:rPr>
                <w:sz w:val="28"/>
                <w:szCs w:val="28"/>
              </w:rPr>
            </w:pPr>
            <w:r w:rsidRPr="00F21AE2">
              <w:rPr>
                <w:sz w:val="28"/>
                <w:szCs w:val="28"/>
              </w:rPr>
              <w:t>6</w:t>
            </w:r>
          </w:p>
        </w:tc>
        <w:tc>
          <w:tcPr>
            <w:tcW w:w="709" w:type="dxa"/>
          </w:tcPr>
          <w:p w14:paraId="101163F9" w14:textId="77777777" w:rsidR="00A51048" w:rsidRPr="00F21AE2" w:rsidRDefault="008A160C" w:rsidP="004453CE">
            <w:pPr>
              <w:pStyle w:val="Binhthng1"/>
              <w:spacing w:before="120" w:after="120"/>
              <w:jc w:val="right"/>
              <w:rPr>
                <w:sz w:val="28"/>
                <w:szCs w:val="28"/>
              </w:rPr>
            </w:pPr>
            <w:r w:rsidRPr="00F21AE2">
              <w:rPr>
                <w:sz w:val="28"/>
                <w:szCs w:val="28"/>
              </w:rPr>
              <w:t>8</w:t>
            </w:r>
          </w:p>
        </w:tc>
        <w:tc>
          <w:tcPr>
            <w:tcW w:w="992" w:type="dxa"/>
          </w:tcPr>
          <w:p w14:paraId="06350C78" w14:textId="77777777" w:rsidR="00A51048" w:rsidRPr="00F21AE2" w:rsidRDefault="008A160C" w:rsidP="004453CE">
            <w:pPr>
              <w:pStyle w:val="Binhthng1"/>
              <w:spacing w:before="120" w:after="120"/>
              <w:jc w:val="right"/>
              <w:rPr>
                <w:sz w:val="28"/>
                <w:szCs w:val="28"/>
              </w:rPr>
            </w:pPr>
            <w:r w:rsidRPr="00F21AE2">
              <w:rPr>
                <w:sz w:val="28"/>
                <w:szCs w:val="28"/>
              </w:rPr>
              <w:t xml:space="preserve"> 9 </w:t>
            </w:r>
          </w:p>
        </w:tc>
        <w:tc>
          <w:tcPr>
            <w:tcW w:w="993" w:type="dxa"/>
          </w:tcPr>
          <w:p w14:paraId="3C2C163C" w14:textId="77777777" w:rsidR="00A51048" w:rsidRPr="00F21AE2" w:rsidRDefault="008A160C" w:rsidP="004453CE">
            <w:pPr>
              <w:pStyle w:val="Binhthng1"/>
              <w:spacing w:before="120" w:after="120"/>
              <w:jc w:val="right"/>
              <w:rPr>
                <w:sz w:val="28"/>
                <w:szCs w:val="28"/>
              </w:rPr>
            </w:pPr>
            <w:r w:rsidRPr="00F21AE2">
              <w:rPr>
                <w:sz w:val="28"/>
                <w:szCs w:val="28"/>
              </w:rPr>
              <w:t xml:space="preserve"> 2 </w:t>
            </w:r>
          </w:p>
        </w:tc>
      </w:tr>
      <w:tr w:rsidR="00F21AE2" w:rsidRPr="00F21AE2" w14:paraId="3D99EE52" w14:textId="77777777" w:rsidTr="00D66940">
        <w:trPr>
          <w:cantSplit/>
          <w:tblHeader/>
        </w:trPr>
        <w:tc>
          <w:tcPr>
            <w:tcW w:w="870" w:type="dxa"/>
          </w:tcPr>
          <w:p w14:paraId="63FF29B7" w14:textId="77777777" w:rsidR="00A51048" w:rsidRPr="00F21AE2" w:rsidRDefault="008A160C" w:rsidP="004453CE">
            <w:pPr>
              <w:pStyle w:val="Binhthng1"/>
              <w:spacing w:before="120" w:after="120"/>
              <w:jc w:val="both"/>
              <w:rPr>
                <w:sz w:val="28"/>
                <w:szCs w:val="28"/>
              </w:rPr>
            </w:pPr>
            <w:r w:rsidRPr="00F21AE2">
              <w:rPr>
                <w:sz w:val="28"/>
                <w:szCs w:val="28"/>
              </w:rPr>
              <w:t>III</w:t>
            </w:r>
          </w:p>
        </w:tc>
        <w:tc>
          <w:tcPr>
            <w:tcW w:w="1081" w:type="dxa"/>
          </w:tcPr>
          <w:p w14:paraId="4EF0312A" w14:textId="77777777" w:rsidR="00A51048" w:rsidRPr="00F21AE2" w:rsidRDefault="008A160C" w:rsidP="004453CE">
            <w:pPr>
              <w:pStyle w:val="Binhthng1"/>
              <w:spacing w:before="120" w:after="120"/>
              <w:jc w:val="right"/>
              <w:rPr>
                <w:sz w:val="28"/>
                <w:szCs w:val="28"/>
              </w:rPr>
            </w:pPr>
            <w:r w:rsidRPr="00F21AE2">
              <w:rPr>
                <w:sz w:val="28"/>
                <w:szCs w:val="28"/>
              </w:rPr>
              <w:t>3.860</w:t>
            </w:r>
          </w:p>
        </w:tc>
        <w:tc>
          <w:tcPr>
            <w:tcW w:w="1187" w:type="dxa"/>
          </w:tcPr>
          <w:p w14:paraId="6F9B0760" w14:textId="77777777" w:rsidR="00A51048" w:rsidRPr="00F21AE2" w:rsidRDefault="008A160C" w:rsidP="004453CE">
            <w:pPr>
              <w:pStyle w:val="Binhthng1"/>
              <w:spacing w:before="120" w:after="120"/>
              <w:jc w:val="right"/>
              <w:rPr>
                <w:sz w:val="28"/>
                <w:szCs w:val="28"/>
              </w:rPr>
            </w:pPr>
            <w:r w:rsidRPr="00F21AE2">
              <w:rPr>
                <w:sz w:val="28"/>
                <w:szCs w:val="28"/>
              </w:rPr>
              <w:t>907</w:t>
            </w:r>
          </w:p>
        </w:tc>
        <w:tc>
          <w:tcPr>
            <w:tcW w:w="1081" w:type="dxa"/>
          </w:tcPr>
          <w:p w14:paraId="2976D607" w14:textId="77777777" w:rsidR="00A51048" w:rsidRPr="00F21AE2" w:rsidRDefault="008A160C" w:rsidP="004453CE">
            <w:pPr>
              <w:pStyle w:val="Binhthng1"/>
              <w:spacing w:before="120" w:after="120"/>
              <w:jc w:val="right"/>
              <w:rPr>
                <w:sz w:val="28"/>
                <w:szCs w:val="28"/>
              </w:rPr>
            </w:pPr>
            <w:r w:rsidRPr="00F21AE2">
              <w:rPr>
                <w:sz w:val="28"/>
                <w:szCs w:val="28"/>
              </w:rPr>
              <w:t>4.767</w:t>
            </w:r>
          </w:p>
        </w:tc>
        <w:tc>
          <w:tcPr>
            <w:tcW w:w="1276" w:type="dxa"/>
          </w:tcPr>
          <w:p w14:paraId="4EFD9073" w14:textId="77777777" w:rsidR="00A51048" w:rsidRPr="00F21AE2" w:rsidRDefault="008A160C" w:rsidP="004453CE">
            <w:pPr>
              <w:pStyle w:val="Binhthng1"/>
              <w:spacing w:before="120" w:after="120"/>
              <w:jc w:val="right"/>
              <w:rPr>
                <w:sz w:val="28"/>
                <w:szCs w:val="28"/>
              </w:rPr>
            </w:pPr>
            <w:r w:rsidRPr="00F21AE2">
              <w:rPr>
                <w:sz w:val="28"/>
                <w:szCs w:val="28"/>
              </w:rPr>
              <w:t>13</w:t>
            </w:r>
          </w:p>
        </w:tc>
        <w:tc>
          <w:tcPr>
            <w:tcW w:w="1275" w:type="dxa"/>
          </w:tcPr>
          <w:p w14:paraId="709B77AC" w14:textId="77777777" w:rsidR="00A51048" w:rsidRPr="00F21AE2" w:rsidRDefault="008A160C" w:rsidP="004453CE">
            <w:pPr>
              <w:pStyle w:val="Binhthng1"/>
              <w:spacing w:before="120" w:after="120"/>
              <w:jc w:val="right"/>
              <w:rPr>
                <w:sz w:val="28"/>
                <w:szCs w:val="28"/>
              </w:rPr>
            </w:pPr>
            <w:r w:rsidRPr="00F21AE2">
              <w:rPr>
                <w:sz w:val="28"/>
                <w:szCs w:val="28"/>
              </w:rPr>
              <w:t>13</w:t>
            </w:r>
          </w:p>
        </w:tc>
        <w:tc>
          <w:tcPr>
            <w:tcW w:w="1276" w:type="dxa"/>
          </w:tcPr>
          <w:p w14:paraId="174AF0E8" w14:textId="77777777" w:rsidR="00A51048" w:rsidRPr="00F21AE2" w:rsidRDefault="008A160C" w:rsidP="004453CE">
            <w:pPr>
              <w:pStyle w:val="Binhthng1"/>
              <w:spacing w:before="120" w:after="120"/>
              <w:jc w:val="right"/>
              <w:rPr>
                <w:sz w:val="28"/>
                <w:szCs w:val="28"/>
              </w:rPr>
            </w:pPr>
            <w:r w:rsidRPr="00F21AE2">
              <w:rPr>
                <w:sz w:val="28"/>
                <w:szCs w:val="28"/>
              </w:rPr>
              <w:t>7</w:t>
            </w:r>
          </w:p>
        </w:tc>
        <w:tc>
          <w:tcPr>
            <w:tcW w:w="1242" w:type="dxa"/>
          </w:tcPr>
          <w:p w14:paraId="3108ABA8" w14:textId="77777777" w:rsidR="00A51048" w:rsidRPr="00F21AE2" w:rsidRDefault="008A160C" w:rsidP="004453CE">
            <w:pPr>
              <w:pStyle w:val="Binhthng1"/>
              <w:spacing w:before="120" w:after="120"/>
              <w:jc w:val="right"/>
              <w:rPr>
                <w:sz w:val="28"/>
                <w:szCs w:val="28"/>
              </w:rPr>
            </w:pPr>
            <w:r w:rsidRPr="00F21AE2">
              <w:rPr>
                <w:sz w:val="28"/>
                <w:szCs w:val="28"/>
              </w:rPr>
              <w:t>7</w:t>
            </w:r>
          </w:p>
        </w:tc>
        <w:tc>
          <w:tcPr>
            <w:tcW w:w="850" w:type="dxa"/>
          </w:tcPr>
          <w:p w14:paraId="34AE086D" w14:textId="77777777" w:rsidR="00A51048" w:rsidRPr="00F21AE2" w:rsidRDefault="008A160C" w:rsidP="004453CE">
            <w:pPr>
              <w:pStyle w:val="Binhthng1"/>
              <w:spacing w:before="120" w:after="120"/>
              <w:jc w:val="right"/>
              <w:rPr>
                <w:sz w:val="28"/>
                <w:szCs w:val="28"/>
              </w:rPr>
            </w:pPr>
            <w:r w:rsidRPr="00F21AE2">
              <w:rPr>
                <w:sz w:val="28"/>
                <w:szCs w:val="28"/>
              </w:rPr>
              <w:t>7</w:t>
            </w:r>
          </w:p>
        </w:tc>
        <w:tc>
          <w:tcPr>
            <w:tcW w:w="993" w:type="dxa"/>
          </w:tcPr>
          <w:p w14:paraId="13860083" w14:textId="77777777" w:rsidR="00A51048" w:rsidRPr="00F21AE2" w:rsidRDefault="008A160C" w:rsidP="004453CE">
            <w:pPr>
              <w:pStyle w:val="Binhthng1"/>
              <w:spacing w:before="120" w:after="120"/>
              <w:jc w:val="right"/>
              <w:rPr>
                <w:sz w:val="28"/>
                <w:szCs w:val="28"/>
              </w:rPr>
            </w:pPr>
            <w:r w:rsidRPr="00F21AE2">
              <w:rPr>
                <w:sz w:val="28"/>
                <w:szCs w:val="28"/>
              </w:rPr>
              <w:t>5</w:t>
            </w:r>
          </w:p>
        </w:tc>
        <w:tc>
          <w:tcPr>
            <w:tcW w:w="992" w:type="dxa"/>
          </w:tcPr>
          <w:p w14:paraId="16CE5CF0" w14:textId="77777777" w:rsidR="00A51048" w:rsidRPr="00F21AE2" w:rsidRDefault="008A160C" w:rsidP="004453CE">
            <w:pPr>
              <w:pStyle w:val="Binhthng1"/>
              <w:spacing w:before="120" w:after="120"/>
              <w:jc w:val="right"/>
              <w:rPr>
                <w:sz w:val="28"/>
                <w:szCs w:val="28"/>
              </w:rPr>
            </w:pPr>
            <w:r w:rsidRPr="00F21AE2">
              <w:rPr>
                <w:sz w:val="28"/>
                <w:szCs w:val="28"/>
              </w:rPr>
              <w:t>5</w:t>
            </w:r>
          </w:p>
        </w:tc>
        <w:tc>
          <w:tcPr>
            <w:tcW w:w="709" w:type="dxa"/>
          </w:tcPr>
          <w:p w14:paraId="05D01146" w14:textId="77777777" w:rsidR="00A51048" w:rsidRPr="00F21AE2" w:rsidRDefault="008A160C" w:rsidP="004453CE">
            <w:pPr>
              <w:pStyle w:val="Binhthng1"/>
              <w:spacing w:before="120" w:after="120"/>
              <w:jc w:val="right"/>
              <w:rPr>
                <w:sz w:val="28"/>
                <w:szCs w:val="28"/>
              </w:rPr>
            </w:pPr>
            <w:r w:rsidRPr="00F21AE2">
              <w:rPr>
                <w:sz w:val="28"/>
                <w:szCs w:val="28"/>
              </w:rPr>
              <w:t>6</w:t>
            </w:r>
          </w:p>
        </w:tc>
        <w:tc>
          <w:tcPr>
            <w:tcW w:w="992" w:type="dxa"/>
          </w:tcPr>
          <w:p w14:paraId="1A3352BE" w14:textId="77777777" w:rsidR="00A51048" w:rsidRPr="00F21AE2" w:rsidRDefault="008A160C" w:rsidP="004453CE">
            <w:pPr>
              <w:pStyle w:val="Binhthng1"/>
              <w:spacing w:before="120" w:after="120"/>
              <w:jc w:val="right"/>
              <w:rPr>
                <w:sz w:val="28"/>
                <w:szCs w:val="28"/>
              </w:rPr>
            </w:pPr>
            <w:r w:rsidRPr="00F21AE2">
              <w:rPr>
                <w:sz w:val="28"/>
                <w:szCs w:val="28"/>
              </w:rPr>
              <w:t xml:space="preserve"> 8 </w:t>
            </w:r>
          </w:p>
        </w:tc>
        <w:tc>
          <w:tcPr>
            <w:tcW w:w="993" w:type="dxa"/>
          </w:tcPr>
          <w:p w14:paraId="3DFA1239" w14:textId="77777777" w:rsidR="00A51048" w:rsidRPr="00F21AE2" w:rsidRDefault="008A160C" w:rsidP="004453CE">
            <w:pPr>
              <w:pStyle w:val="Binhthng1"/>
              <w:spacing w:before="120" w:after="120"/>
              <w:jc w:val="right"/>
              <w:rPr>
                <w:sz w:val="28"/>
                <w:szCs w:val="28"/>
              </w:rPr>
            </w:pPr>
            <w:r w:rsidRPr="00F21AE2">
              <w:rPr>
                <w:sz w:val="28"/>
                <w:szCs w:val="28"/>
              </w:rPr>
              <w:t>2</w:t>
            </w:r>
          </w:p>
        </w:tc>
      </w:tr>
      <w:tr w:rsidR="00F21AE2" w:rsidRPr="00F21AE2" w14:paraId="643F9C17" w14:textId="77777777" w:rsidTr="00D66940">
        <w:trPr>
          <w:cantSplit/>
          <w:tblHeader/>
        </w:trPr>
        <w:tc>
          <w:tcPr>
            <w:tcW w:w="870" w:type="dxa"/>
          </w:tcPr>
          <w:p w14:paraId="5558A2EB" w14:textId="77777777" w:rsidR="00A51048" w:rsidRPr="00F21AE2" w:rsidRDefault="008A160C" w:rsidP="004453CE">
            <w:pPr>
              <w:pStyle w:val="Binhthng1"/>
              <w:spacing w:before="120" w:after="120"/>
              <w:jc w:val="both"/>
              <w:rPr>
                <w:sz w:val="28"/>
                <w:szCs w:val="28"/>
              </w:rPr>
            </w:pPr>
            <w:r w:rsidRPr="00F21AE2">
              <w:rPr>
                <w:sz w:val="28"/>
                <w:szCs w:val="28"/>
              </w:rPr>
              <w:t>IV</w:t>
            </w:r>
          </w:p>
        </w:tc>
        <w:tc>
          <w:tcPr>
            <w:tcW w:w="1081" w:type="dxa"/>
          </w:tcPr>
          <w:p w14:paraId="446EF720" w14:textId="77777777" w:rsidR="00A51048" w:rsidRPr="00F21AE2" w:rsidRDefault="008A160C" w:rsidP="004453CE">
            <w:pPr>
              <w:pStyle w:val="Binhthng1"/>
              <w:spacing w:before="120" w:after="120"/>
              <w:jc w:val="right"/>
              <w:rPr>
                <w:sz w:val="28"/>
                <w:szCs w:val="28"/>
              </w:rPr>
            </w:pPr>
            <w:r w:rsidRPr="00F21AE2">
              <w:rPr>
                <w:sz w:val="28"/>
                <w:szCs w:val="28"/>
              </w:rPr>
              <w:t>3.450</w:t>
            </w:r>
          </w:p>
        </w:tc>
        <w:tc>
          <w:tcPr>
            <w:tcW w:w="1187" w:type="dxa"/>
          </w:tcPr>
          <w:p w14:paraId="700B53B9" w14:textId="77777777" w:rsidR="00A51048" w:rsidRPr="00F21AE2" w:rsidRDefault="008A160C" w:rsidP="004453CE">
            <w:pPr>
              <w:pStyle w:val="Binhthng1"/>
              <w:spacing w:before="120" w:after="120"/>
              <w:jc w:val="right"/>
              <w:rPr>
                <w:sz w:val="28"/>
                <w:szCs w:val="28"/>
              </w:rPr>
            </w:pPr>
            <w:r w:rsidRPr="00F21AE2">
              <w:rPr>
                <w:sz w:val="28"/>
                <w:szCs w:val="28"/>
              </w:rPr>
              <w:t>810</w:t>
            </w:r>
          </w:p>
        </w:tc>
        <w:tc>
          <w:tcPr>
            <w:tcW w:w="1081" w:type="dxa"/>
          </w:tcPr>
          <w:p w14:paraId="7D97DCE2" w14:textId="77777777" w:rsidR="00A51048" w:rsidRPr="00F21AE2" w:rsidRDefault="008A160C" w:rsidP="004453CE">
            <w:pPr>
              <w:pStyle w:val="Binhthng1"/>
              <w:spacing w:before="120" w:after="120"/>
              <w:jc w:val="right"/>
              <w:rPr>
                <w:sz w:val="28"/>
                <w:szCs w:val="28"/>
              </w:rPr>
            </w:pPr>
            <w:r w:rsidRPr="00F21AE2">
              <w:rPr>
                <w:sz w:val="28"/>
                <w:szCs w:val="28"/>
              </w:rPr>
              <w:t>4.260</w:t>
            </w:r>
          </w:p>
        </w:tc>
        <w:tc>
          <w:tcPr>
            <w:tcW w:w="1276" w:type="dxa"/>
          </w:tcPr>
          <w:p w14:paraId="4601D3E5" w14:textId="77777777" w:rsidR="00A51048" w:rsidRPr="00F21AE2" w:rsidRDefault="008A160C" w:rsidP="004453CE">
            <w:pPr>
              <w:pStyle w:val="Binhthng1"/>
              <w:spacing w:before="120" w:after="120"/>
              <w:jc w:val="right"/>
              <w:rPr>
                <w:sz w:val="28"/>
                <w:szCs w:val="28"/>
              </w:rPr>
            </w:pPr>
            <w:r w:rsidRPr="00F21AE2">
              <w:rPr>
                <w:sz w:val="28"/>
                <w:szCs w:val="28"/>
              </w:rPr>
              <w:t>12</w:t>
            </w:r>
          </w:p>
        </w:tc>
        <w:tc>
          <w:tcPr>
            <w:tcW w:w="1275" w:type="dxa"/>
          </w:tcPr>
          <w:p w14:paraId="4F2AD387" w14:textId="77777777" w:rsidR="00A51048" w:rsidRPr="00F21AE2" w:rsidRDefault="008A160C" w:rsidP="004453CE">
            <w:pPr>
              <w:pStyle w:val="Binhthng1"/>
              <w:spacing w:before="120" w:after="120"/>
              <w:jc w:val="right"/>
              <w:rPr>
                <w:sz w:val="28"/>
                <w:szCs w:val="28"/>
              </w:rPr>
            </w:pPr>
            <w:r w:rsidRPr="00F21AE2">
              <w:rPr>
                <w:sz w:val="28"/>
                <w:szCs w:val="28"/>
              </w:rPr>
              <w:t>12</w:t>
            </w:r>
          </w:p>
        </w:tc>
        <w:tc>
          <w:tcPr>
            <w:tcW w:w="1276" w:type="dxa"/>
          </w:tcPr>
          <w:p w14:paraId="3901CBFE" w14:textId="77777777" w:rsidR="00A51048" w:rsidRPr="00F21AE2" w:rsidRDefault="008A160C" w:rsidP="004453CE">
            <w:pPr>
              <w:pStyle w:val="Binhthng1"/>
              <w:spacing w:before="120" w:after="120"/>
              <w:jc w:val="right"/>
              <w:rPr>
                <w:sz w:val="28"/>
                <w:szCs w:val="28"/>
              </w:rPr>
            </w:pPr>
            <w:r w:rsidRPr="00F21AE2">
              <w:rPr>
                <w:sz w:val="28"/>
                <w:szCs w:val="28"/>
              </w:rPr>
              <w:t>6</w:t>
            </w:r>
          </w:p>
        </w:tc>
        <w:tc>
          <w:tcPr>
            <w:tcW w:w="1242" w:type="dxa"/>
          </w:tcPr>
          <w:p w14:paraId="14FBA2F9" w14:textId="77777777" w:rsidR="00A51048" w:rsidRPr="00F21AE2" w:rsidRDefault="008A160C" w:rsidP="004453CE">
            <w:pPr>
              <w:pStyle w:val="Binhthng1"/>
              <w:spacing w:before="120" w:after="120"/>
              <w:jc w:val="right"/>
              <w:rPr>
                <w:sz w:val="28"/>
                <w:szCs w:val="28"/>
              </w:rPr>
            </w:pPr>
            <w:r w:rsidRPr="00F21AE2">
              <w:rPr>
                <w:sz w:val="28"/>
                <w:szCs w:val="28"/>
              </w:rPr>
              <w:t>6</w:t>
            </w:r>
          </w:p>
        </w:tc>
        <w:tc>
          <w:tcPr>
            <w:tcW w:w="850" w:type="dxa"/>
          </w:tcPr>
          <w:p w14:paraId="14A7D9D1" w14:textId="77777777" w:rsidR="00A51048" w:rsidRPr="00F21AE2" w:rsidRDefault="008A160C" w:rsidP="004453CE">
            <w:pPr>
              <w:pStyle w:val="Binhthng1"/>
              <w:spacing w:before="120" w:after="120"/>
              <w:jc w:val="right"/>
              <w:rPr>
                <w:sz w:val="28"/>
                <w:szCs w:val="28"/>
              </w:rPr>
            </w:pPr>
            <w:r w:rsidRPr="00F21AE2">
              <w:rPr>
                <w:sz w:val="28"/>
                <w:szCs w:val="28"/>
              </w:rPr>
              <w:t>6</w:t>
            </w:r>
          </w:p>
        </w:tc>
        <w:tc>
          <w:tcPr>
            <w:tcW w:w="993" w:type="dxa"/>
          </w:tcPr>
          <w:p w14:paraId="065BD29D" w14:textId="77777777" w:rsidR="00A51048" w:rsidRPr="00F21AE2" w:rsidRDefault="008A160C" w:rsidP="004453CE">
            <w:pPr>
              <w:pStyle w:val="Binhthng1"/>
              <w:spacing w:before="120" w:after="120"/>
              <w:jc w:val="right"/>
              <w:rPr>
                <w:sz w:val="28"/>
                <w:szCs w:val="28"/>
              </w:rPr>
            </w:pPr>
            <w:r w:rsidRPr="00F21AE2">
              <w:rPr>
                <w:sz w:val="28"/>
                <w:szCs w:val="28"/>
              </w:rPr>
              <w:t>5</w:t>
            </w:r>
          </w:p>
        </w:tc>
        <w:tc>
          <w:tcPr>
            <w:tcW w:w="992" w:type="dxa"/>
          </w:tcPr>
          <w:p w14:paraId="0BAB808B" w14:textId="77777777" w:rsidR="00A51048" w:rsidRPr="00F21AE2" w:rsidRDefault="008A160C" w:rsidP="004453CE">
            <w:pPr>
              <w:pStyle w:val="Binhthng1"/>
              <w:spacing w:before="120" w:after="120"/>
              <w:jc w:val="right"/>
              <w:rPr>
                <w:sz w:val="28"/>
                <w:szCs w:val="28"/>
              </w:rPr>
            </w:pPr>
            <w:r w:rsidRPr="00F21AE2">
              <w:rPr>
                <w:sz w:val="28"/>
                <w:szCs w:val="28"/>
              </w:rPr>
              <w:t>5</w:t>
            </w:r>
          </w:p>
        </w:tc>
        <w:tc>
          <w:tcPr>
            <w:tcW w:w="709" w:type="dxa"/>
          </w:tcPr>
          <w:p w14:paraId="4D6F0E1E" w14:textId="77777777" w:rsidR="00A51048" w:rsidRPr="00F21AE2" w:rsidRDefault="008A160C" w:rsidP="004453CE">
            <w:pPr>
              <w:pStyle w:val="Binhthng1"/>
              <w:spacing w:before="120" w:after="120"/>
              <w:jc w:val="right"/>
              <w:rPr>
                <w:sz w:val="28"/>
                <w:szCs w:val="28"/>
              </w:rPr>
            </w:pPr>
            <w:r w:rsidRPr="00F21AE2">
              <w:rPr>
                <w:sz w:val="28"/>
                <w:szCs w:val="28"/>
              </w:rPr>
              <w:t>6</w:t>
            </w:r>
          </w:p>
        </w:tc>
        <w:tc>
          <w:tcPr>
            <w:tcW w:w="992" w:type="dxa"/>
          </w:tcPr>
          <w:p w14:paraId="387D6286" w14:textId="77777777" w:rsidR="00A51048" w:rsidRPr="00F21AE2" w:rsidRDefault="008A160C" w:rsidP="004453CE">
            <w:pPr>
              <w:pStyle w:val="Binhthng1"/>
              <w:spacing w:before="120" w:after="120"/>
              <w:jc w:val="right"/>
              <w:rPr>
                <w:sz w:val="28"/>
                <w:szCs w:val="28"/>
              </w:rPr>
            </w:pPr>
            <w:r w:rsidRPr="00F21AE2">
              <w:rPr>
                <w:sz w:val="28"/>
                <w:szCs w:val="28"/>
              </w:rPr>
              <w:t xml:space="preserve">7 </w:t>
            </w:r>
          </w:p>
        </w:tc>
        <w:tc>
          <w:tcPr>
            <w:tcW w:w="993" w:type="dxa"/>
          </w:tcPr>
          <w:p w14:paraId="3D398F6A" w14:textId="77777777" w:rsidR="00A51048" w:rsidRPr="00F21AE2" w:rsidRDefault="008A160C" w:rsidP="004453CE">
            <w:pPr>
              <w:pStyle w:val="Binhthng1"/>
              <w:spacing w:before="120" w:after="120"/>
              <w:jc w:val="right"/>
              <w:rPr>
                <w:sz w:val="28"/>
                <w:szCs w:val="28"/>
              </w:rPr>
            </w:pPr>
            <w:r w:rsidRPr="00F21AE2">
              <w:rPr>
                <w:sz w:val="28"/>
                <w:szCs w:val="28"/>
              </w:rPr>
              <w:t>1</w:t>
            </w:r>
          </w:p>
        </w:tc>
      </w:tr>
    </w:tbl>
    <w:p w14:paraId="7753FC3D" w14:textId="77777777" w:rsidR="00A51048" w:rsidRPr="00F21AE2" w:rsidRDefault="00A51048" w:rsidP="004453CE">
      <w:pPr>
        <w:pStyle w:val="Binhthng1"/>
        <w:spacing w:before="120" w:after="120"/>
        <w:ind w:firstLine="720"/>
        <w:jc w:val="both"/>
        <w:rPr>
          <w:sz w:val="28"/>
          <w:szCs w:val="28"/>
        </w:rPr>
      </w:pPr>
    </w:p>
    <w:p w14:paraId="6C00A0DA" w14:textId="77777777" w:rsidR="00A51048" w:rsidRPr="00F21AE2" w:rsidRDefault="00A51048" w:rsidP="004453CE">
      <w:pPr>
        <w:pStyle w:val="Binhthng1"/>
        <w:spacing w:before="120" w:after="120"/>
        <w:ind w:firstLine="720"/>
        <w:jc w:val="both"/>
        <w:rPr>
          <w:sz w:val="28"/>
          <w:szCs w:val="28"/>
        </w:rPr>
      </w:pPr>
    </w:p>
    <w:p w14:paraId="6F27AC3A" w14:textId="77777777" w:rsidR="00A51048" w:rsidRPr="00F21AE2" w:rsidRDefault="00A51048" w:rsidP="004453CE">
      <w:pPr>
        <w:pStyle w:val="Binhthng1"/>
        <w:spacing w:before="120" w:after="120"/>
        <w:ind w:firstLine="720"/>
        <w:jc w:val="both"/>
        <w:rPr>
          <w:sz w:val="28"/>
          <w:szCs w:val="28"/>
        </w:rPr>
      </w:pPr>
    </w:p>
    <w:p w14:paraId="60070F99" w14:textId="77777777" w:rsidR="00A51048" w:rsidRPr="00F21AE2" w:rsidRDefault="00A51048" w:rsidP="004453CE">
      <w:pPr>
        <w:pStyle w:val="Binhthng1"/>
        <w:spacing w:before="120" w:after="120"/>
        <w:ind w:firstLine="720"/>
        <w:jc w:val="both"/>
        <w:rPr>
          <w:sz w:val="28"/>
          <w:szCs w:val="28"/>
        </w:rPr>
      </w:pPr>
    </w:p>
    <w:p w14:paraId="09EE5B65" w14:textId="77777777" w:rsidR="00A51048" w:rsidRPr="00F21AE2" w:rsidRDefault="00A51048" w:rsidP="004453CE">
      <w:pPr>
        <w:pStyle w:val="Binhthng1"/>
        <w:spacing w:before="120" w:after="120"/>
        <w:ind w:firstLine="720"/>
        <w:jc w:val="both"/>
        <w:rPr>
          <w:sz w:val="28"/>
          <w:szCs w:val="28"/>
        </w:rPr>
        <w:sectPr w:rsidR="00A51048" w:rsidRPr="00F21AE2">
          <w:pgSz w:w="16840" w:h="11907" w:orient="landscape"/>
          <w:pgMar w:top="1701" w:right="1134" w:bottom="851" w:left="900" w:header="720" w:footer="720" w:gutter="0"/>
          <w:cols w:space="720"/>
          <w:titlePg/>
        </w:sectPr>
      </w:pPr>
    </w:p>
    <w:p w14:paraId="1834DA01" w14:textId="247AA54A" w:rsidR="00553D79" w:rsidRPr="00F21AE2" w:rsidRDefault="00D705CA" w:rsidP="004453CE">
      <w:pPr>
        <w:pStyle w:val="Binhthng1"/>
        <w:spacing w:before="120" w:after="120"/>
        <w:ind w:firstLine="720"/>
        <w:jc w:val="both"/>
        <w:rPr>
          <w:b/>
          <w:sz w:val="28"/>
          <w:szCs w:val="28"/>
        </w:rPr>
      </w:pPr>
      <w:r>
        <w:rPr>
          <w:b/>
          <w:sz w:val="28"/>
          <w:szCs w:val="28"/>
        </w:rPr>
        <w:lastRenderedPageBreak/>
        <w:t>6</w:t>
      </w:r>
      <w:r w:rsidR="00553D79" w:rsidRPr="00F21AE2">
        <w:rPr>
          <w:b/>
          <w:sz w:val="28"/>
          <w:szCs w:val="28"/>
        </w:rPr>
        <w:t xml:space="preserve">. </w:t>
      </w:r>
      <w:r w:rsidRPr="00F21AE2">
        <w:rPr>
          <w:b/>
          <w:sz w:val="28"/>
          <w:szCs w:val="28"/>
        </w:rPr>
        <w:t>Dịch vụ phục vụ trực tiếp người học trong công tác kiểm tra, đánh giá</w:t>
      </w:r>
    </w:p>
    <w:p w14:paraId="11924442" w14:textId="4FF97C20" w:rsidR="00404AA1" w:rsidRPr="00F21AE2" w:rsidRDefault="008A160C" w:rsidP="004453CE">
      <w:pPr>
        <w:pStyle w:val="Binhthng1"/>
        <w:spacing w:before="120" w:after="120"/>
        <w:ind w:firstLine="720"/>
        <w:jc w:val="both"/>
        <w:rPr>
          <w:sz w:val="28"/>
          <w:szCs w:val="28"/>
        </w:rPr>
      </w:pPr>
      <w:r w:rsidRPr="00F21AE2">
        <w:rPr>
          <w:sz w:val="28"/>
          <w:szCs w:val="28"/>
        </w:rPr>
        <w:t xml:space="preserve">Theo quy định, mỗi môn học hàng năm phải thực hiện 04 bài thi và kiểm tra, chi phí ra đề, coi thi, chấm thi được bố trí từ nguồn chi thường xuyên của các cơ sở giáo dục; tuy nhiên, chi phí mua giấy thi, giấy nháp, photo đề thi phục vụ bàn thân học sinh chưa được tính toán </w:t>
      </w:r>
      <w:r w:rsidR="00404AA1" w:rsidRPr="00F21AE2">
        <w:rPr>
          <w:sz w:val="28"/>
          <w:szCs w:val="28"/>
        </w:rPr>
        <w:t>quy định cụ thể mức chi, nguồn chi để các đơn vị thực hiện. Mặt khác, mức thu học phí giữ nguyên như năm học 2021 – 2022, các trường tiểu học không thu học phí, đến năm học 2025 – 2026 học sinh trung học cơ sở không phải đóng học phí nên việc cho phép các cơ sở giáo dục thu khoản này là cần thiết, nhằm giảm gánh nặng, khó khăn cho cơ sở giáo dục, đảm bảo các quy định về chuyên môn.</w:t>
      </w:r>
    </w:p>
    <w:p w14:paraId="07A698EE" w14:textId="3351460F" w:rsidR="00A51048" w:rsidRPr="00F21AE2" w:rsidRDefault="008A160C" w:rsidP="004453CE">
      <w:pPr>
        <w:pStyle w:val="Binhthng1"/>
        <w:spacing w:before="120" w:after="120"/>
        <w:ind w:firstLine="720"/>
        <w:jc w:val="both"/>
        <w:rPr>
          <w:sz w:val="28"/>
          <w:szCs w:val="28"/>
        </w:rPr>
      </w:pPr>
      <w:r w:rsidRPr="00F21AE2">
        <w:rPr>
          <w:sz w:val="28"/>
          <w:szCs w:val="28"/>
        </w:rPr>
        <w:t xml:space="preserve">Dự kiến kinh phí mua giấy làm bài kiểm tra, photo đề kiểm tra giữa kì (02 lần/năm học), kiểm tra cuối kỳ (02 lần/năm học): </w:t>
      </w:r>
    </w:p>
    <w:p w14:paraId="1A9AC317" w14:textId="5C164137" w:rsidR="0037642F" w:rsidRPr="00F21AE2" w:rsidRDefault="0037642F" w:rsidP="004453CE">
      <w:pPr>
        <w:pStyle w:val="Binhthng1"/>
        <w:spacing w:before="120" w:after="120"/>
        <w:ind w:firstLine="720"/>
        <w:jc w:val="both"/>
        <w:rPr>
          <w:sz w:val="28"/>
          <w:szCs w:val="28"/>
        </w:rPr>
      </w:pPr>
      <w:r w:rsidRPr="00F21AE2">
        <w:rPr>
          <w:sz w:val="28"/>
          <w:szCs w:val="28"/>
        </w:rPr>
        <w:t>- Tiểu học</w:t>
      </w:r>
    </w:p>
    <w:p w14:paraId="434CA226" w14:textId="7BE44A1E" w:rsidR="00404AA1" w:rsidRPr="00F21AE2" w:rsidRDefault="00404AA1" w:rsidP="00404AA1">
      <w:pPr>
        <w:pStyle w:val="Binhthng1"/>
        <w:spacing w:before="120" w:after="120"/>
        <w:ind w:firstLine="720"/>
        <w:jc w:val="both"/>
        <w:rPr>
          <w:sz w:val="28"/>
          <w:szCs w:val="28"/>
        </w:rPr>
      </w:pPr>
      <w:r w:rsidRPr="00F21AE2">
        <w:rPr>
          <w:sz w:val="28"/>
          <w:szCs w:val="28"/>
        </w:rPr>
        <w:t>Số tiền photo 01 bài kiểm tra: 02 tờ x 500 đồng/tờ = 1.000 đồng.</w:t>
      </w:r>
    </w:p>
    <w:p w14:paraId="78E09DE5" w14:textId="0316FB1F" w:rsidR="0037642F" w:rsidRPr="00F21AE2" w:rsidRDefault="0037642F" w:rsidP="004453CE">
      <w:pPr>
        <w:pStyle w:val="Binhthng1"/>
        <w:spacing w:before="120" w:after="120"/>
        <w:ind w:firstLine="720"/>
        <w:jc w:val="both"/>
        <w:rPr>
          <w:sz w:val="28"/>
          <w:szCs w:val="28"/>
        </w:rPr>
      </w:pPr>
      <w:r w:rsidRPr="00F21AE2">
        <w:rPr>
          <w:sz w:val="28"/>
          <w:szCs w:val="28"/>
        </w:rPr>
        <w:t>+ Lớp 1, lớp 2: 04 môn x 02 bài x 1.000 đồng = 8.000 đồng.</w:t>
      </w:r>
    </w:p>
    <w:p w14:paraId="1E7ED751" w14:textId="2E3E11BE" w:rsidR="0037642F" w:rsidRPr="00F21AE2" w:rsidRDefault="0037642F" w:rsidP="004453CE">
      <w:pPr>
        <w:pStyle w:val="Binhthng1"/>
        <w:spacing w:before="120" w:after="120"/>
        <w:ind w:firstLine="720"/>
        <w:jc w:val="both"/>
        <w:rPr>
          <w:sz w:val="28"/>
          <w:szCs w:val="28"/>
        </w:rPr>
      </w:pPr>
      <w:r w:rsidRPr="00F21AE2">
        <w:rPr>
          <w:sz w:val="28"/>
          <w:szCs w:val="28"/>
        </w:rPr>
        <w:t xml:space="preserve">+ Lớp </w:t>
      </w:r>
      <w:r w:rsidR="00467BD1" w:rsidRPr="00F21AE2">
        <w:rPr>
          <w:sz w:val="28"/>
          <w:szCs w:val="28"/>
        </w:rPr>
        <w:t>3</w:t>
      </w:r>
      <w:r w:rsidRPr="00F21AE2">
        <w:rPr>
          <w:sz w:val="28"/>
          <w:szCs w:val="28"/>
        </w:rPr>
        <w:t>: 05 môn x 02 bài x 1.000 đồng = 10.000 đồng.</w:t>
      </w:r>
    </w:p>
    <w:p w14:paraId="2CD4ADCA" w14:textId="78DB69B8" w:rsidR="0037642F" w:rsidRPr="00F21AE2" w:rsidRDefault="0037642F" w:rsidP="004453CE">
      <w:pPr>
        <w:pStyle w:val="Binhthng1"/>
        <w:spacing w:before="120" w:after="120"/>
        <w:ind w:firstLine="720"/>
        <w:jc w:val="both"/>
        <w:rPr>
          <w:sz w:val="28"/>
          <w:szCs w:val="28"/>
        </w:rPr>
      </w:pPr>
      <w:r w:rsidRPr="00F21AE2">
        <w:rPr>
          <w:sz w:val="28"/>
          <w:szCs w:val="28"/>
        </w:rPr>
        <w:t>+ Lớp 4, lớp 5: 07 môn (trong đó 02 môn x 04 bài + 05 môn x 02 bài) x 1.000 đồng = 18.000 đồng.</w:t>
      </w:r>
    </w:p>
    <w:p w14:paraId="440604AF" w14:textId="1F91BA25" w:rsidR="00404AA1" w:rsidRPr="00F21AE2" w:rsidRDefault="00467BD1" w:rsidP="004453CE">
      <w:pPr>
        <w:pStyle w:val="Binhthng1"/>
        <w:spacing w:before="120" w:after="120"/>
        <w:ind w:firstLine="720"/>
        <w:jc w:val="both"/>
        <w:rPr>
          <w:sz w:val="28"/>
          <w:szCs w:val="28"/>
        </w:rPr>
      </w:pPr>
      <w:r w:rsidRPr="00F21AE2">
        <w:rPr>
          <w:sz w:val="28"/>
          <w:szCs w:val="28"/>
        </w:rPr>
        <w:t>- Trung học cơ sở:</w:t>
      </w:r>
    </w:p>
    <w:p w14:paraId="42D34502" w14:textId="77777777" w:rsidR="00404AA1" w:rsidRPr="00F21AE2" w:rsidRDefault="00404AA1" w:rsidP="00404AA1">
      <w:pPr>
        <w:pStyle w:val="Binhthng1"/>
        <w:spacing w:before="120" w:after="120"/>
        <w:ind w:firstLine="720"/>
        <w:jc w:val="both"/>
        <w:rPr>
          <w:sz w:val="28"/>
          <w:szCs w:val="28"/>
        </w:rPr>
      </w:pPr>
      <w:r w:rsidRPr="00F21AE2">
        <w:rPr>
          <w:sz w:val="28"/>
          <w:szCs w:val="28"/>
        </w:rPr>
        <w:t xml:space="preserve">+ Số tiền photo bài kiểm tra, giấy kiểm tra: 02 tờ x 500 đồng/tờ = 1.000 đồng; </w:t>
      </w:r>
    </w:p>
    <w:p w14:paraId="12FA59D3" w14:textId="3E0B3458" w:rsidR="00A51048" w:rsidRPr="00F21AE2" w:rsidRDefault="00404AA1" w:rsidP="004453CE">
      <w:pPr>
        <w:pStyle w:val="Binhthng1"/>
        <w:spacing w:before="120" w:after="120"/>
        <w:ind w:firstLine="720"/>
        <w:jc w:val="both"/>
        <w:rPr>
          <w:sz w:val="28"/>
          <w:szCs w:val="28"/>
        </w:rPr>
      </w:pPr>
      <w:r w:rsidRPr="00F21AE2">
        <w:rPr>
          <w:sz w:val="28"/>
          <w:szCs w:val="28"/>
        </w:rPr>
        <w:t xml:space="preserve">+ </w:t>
      </w:r>
      <w:r w:rsidR="008A160C" w:rsidRPr="00F21AE2">
        <w:rPr>
          <w:sz w:val="28"/>
          <w:szCs w:val="28"/>
        </w:rPr>
        <w:t>13 môn x 04 bài x 1.000 đồng = 52.000 đồng.</w:t>
      </w:r>
    </w:p>
    <w:p w14:paraId="15E9FEC5" w14:textId="77777777" w:rsidR="00404AA1" w:rsidRPr="00F21AE2" w:rsidRDefault="008A160C" w:rsidP="00404AA1">
      <w:pPr>
        <w:pStyle w:val="Binhthng1"/>
        <w:spacing w:before="120" w:after="120"/>
        <w:ind w:firstLine="720"/>
        <w:jc w:val="both"/>
        <w:rPr>
          <w:sz w:val="28"/>
          <w:szCs w:val="28"/>
        </w:rPr>
      </w:pPr>
      <w:r w:rsidRPr="00F21AE2">
        <w:rPr>
          <w:sz w:val="28"/>
          <w:szCs w:val="28"/>
        </w:rPr>
        <w:t xml:space="preserve">- Trung học phổ thông, giáo dục thường xuyên: </w:t>
      </w:r>
    </w:p>
    <w:p w14:paraId="5A8020B6" w14:textId="4CDF7B25" w:rsidR="00404AA1" w:rsidRPr="00F21AE2" w:rsidRDefault="00404AA1" w:rsidP="00404AA1">
      <w:pPr>
        <w:pStyle w:val="Binhthng1"/>
        <w:spacing w:before="120" w:after="120"/>
        <w:ind w:firstLine="720"/>
        <w:jc w:val="both"/>
        <w:rPr>
          <w:sz w:val="28"/>
          <w:szCs w:val="28"/>
        </w:rPr>
      </w:pPr>
      <w:r w:rsidRPr="00F21AE2">
        <w:rPr>
          <w:sz w:val="28"/>
          <w:szCs w:val="28"/>
        </w:rPr>
        <w:t xml:space="preserve">+ Số tiền photo bài kiểm tra, giấy kiểm tra: 03 tờ x 500 đồng/tờ = 1.500 đồng; </w:t>
      </w:r>
    </w:p>
    <w:p w14:paraId="0073D637" w14:textId="77777777" w:rsidR="00404AA1" w:rsidRPr="00F21AE2" w:rsidRDefault="00404AA1" w:rsidP="00404AA1">
      <w:pPr>
        <w:pStyle w:val="Binhthng1"/>
        <w:spacing w:before="120" w:after="120"/>
        <w:ind w:firstLine="720"/>
        <w:jc w:val="both"/>
        <w:rPr>
          <w:sz w:val="28"/>
          <w:szCs w:val="28"/>
        </w:rPr>
      </w:pPr>
      <w:r w:rsidRPr="00F21AE2">
        <w:rPr>
          <w:sz w:val="28"/>
          <w:szCs w:val="28"/>
        </w:rPr>
        <w:t>+ 13 môn x 04 bài x 1.500 đồng/bài = 78.000 đồng.</w:t>
      </w:r>
    </w:p>
    <w:p w14:paraId="3373826F" w14:textId="1E1299B4" w:rsidR="00A51048" w:rsidRPr="008226A2" w:rsidRDefault="00D705CA" w:rsidP="004453CE">
      <w:pPr>
        <w:pStyle w:val="Binhthng1"/>
        <w:spacing w:before="120" w:after="120"/>
        <w:ind w:firstLine="720"/>
        <w:jc w:val="both"/>
        <w:rPr>
          <w:b/>
          <w:sz w:val="28"/>
          <w:szCs w:val="28"/>
        </w:rPr>
      </w:pPr>
      <w:r w:rsidRPr="008226A2">
        <w:rPr>
          <w:b/>
          <w:sz w:val="28"/>
          <w:szCs w:val="28"/>
        </w:rPr>
        <w:t>II. GIẢI TRÌNH ĐỐI VỚI CÁC KHOẢN THU ĐỀ XUẤT BÃI BỎ THEO NGHỊ QUYẾT SỐ 24/2021/NQ-HĐND</w:t>
      </w:r>
    </w:p>
    <w:p w14:paraId="79BF5403" w14:textId="3728CD6B" w:rsidR="00426E68" w:rsidRDefault="00426E68" w:rsidP="004453CE">
      <w:pPr>
        <w:pStyle w:val="Binhthng1"/>
        <w:spacing w:before="120" w:after="120"/>
        <w:ind w:firstLine="720"/>
        <w:jc w:val="both"/>
        <w:rPr>
          <w:sz w:val="28"/>
          <w:szCs w:val="28"/>
        </w:rPr>
      </w:pPr>
      <w:r>
        <w:rPr>
          <w:sz w:val="28"/>
          <w:szCs w:val="28"/>
        </w:rPr>
        <w:t>Phụ lục ban hành kèm theo Nghị quyết số 24/2021/NQ-HĐND</w:t>
      </w:r>
      <w:r w:rsidR="007D4824">
        <w:rPr>
          <w:sz w:val="28"/>
          <w:szCs w:val="28"/>
        </w:rPr>
        <w:t xml:space="preserve"> có quy định các khoản </w:t>
      </w:r>
      <w:r w:rsidR="00FE3F11">
        <w:rPr>
          <w:sz w:val="28"/>
          <w:szCs w:val="28"/>
        </w:rPr>
        <w:t xml:space="preserve">thu </w:t>
      </w:r>
      <w:bookmarkStart w:id="0" w:name="_GoBack"/>
      <w:bookmarkEnd w:id="0"/>
      <w:r w:rsidR="007D4824">
        <w:rPr>
          <w:sz w:val="28"/>
          <w:szCs w:val="28"/>
        </w:rPr>
        <w:t>các hoạt động tự chọn: (1) Thu dịch vụ các nội dung ngoài chương trình quy định hướng đến nâng cao năng lực từng lĩnh vực học theo nhu cầu học sinh: tiếng Anh, Tin học và các môn học khác; Thu dịch vụ giảng dạy tăng tiết các môn học trong các cơ sở giáo dục Trung học không đủ điều kiện tổ chức dạy 02 buổi/ngày. (2) Tổ chức các lớp năng khiếu, nghệ thuật, Aerobic; các hoạt động giáo dục kỹ năng sống; giáo dục STEM (phương pháp học tập tiếp cận, áp dụng kiến thức Khoa học, Công nghệ, Kĩ thuật và Toán học), hoạt động trải nghiệm sáng tạo, hướng nghiệp phù hợp với học sinh các cấp học. (3) Tổ chức cho trẻ mẫu giáo làm quen với tiếng Anh; học sinh Tiểu học, Trung học cơ sở, Trung học phổ thông và trường Phổ thông có nhiều cấp học học tiếng Anh với giáo viên người nước ngoài.</w:t>
      </w:r>
    </w:p>
    <w:p w14:paraId="796E7886" w14:textId="62520FBB" w:rsidR="00D705CA" w:rsidRDefault="008226A2" w:rsidP="004453CE">
      <w:pPr>
        <w:pStyle w:val="Binhthng1"/>
        <w:spacing w:before="120" w:after="120"/>
        <w:ind w:firstLine="720"/>
        <w:jc w:val="both"/>
        <w:rPr>
          <w:sz w:val="28"/>
          <w:szCs w:val="28"/>
        </w:rPr>
      </w:pPr>
      <w:r>
        <w:rPr>
          <w:sz w:val="28"/>
          <w:szCs w:val="28"/>
        </w:rPr>
        <w:lastRenderedPageBreak/>
        <w:t xml:space="preserve">Theo quy định tại Phụ lục Danh mục và nội dung hệ thống ngành sản phẩm Việt Nam ban hành kèm theo </w:t>
      </w:r>
      <w:r w:rsidR="00596D75">
        <w:rPr>
          <w:sz w:val="28"/>
          <w:szCs w:val="28"/>
        </w:rPr>
        <w:t xml:space="preserve">Quyết định số 43/2018/QĐ-TTg ngày 01/11/2018 của Thủ tướng Chính phủ ban hành hệ thống ngành sản phẩm Việt Nam thì các nội dung quy định trên </w:t>
      </w:r>
      <w:r>
        <w:rPr>
          <w:sz w:val="28"/>
          <w:szCs w:val="28"/>
        </w:rPr>
        <w:t xml:space="preserve">là dịch vụ giáo dục, được xếp vào nhóm dịch vụ giáo dục </w:t>
      </w:r>
      <w:r w:rsidR="00A96915">
        <w:rPr>
          <w:sz w:val="28"/>
          <w:szCs w:val="28"/>
        </w:rPr>
        <w:t>khác chưa được phân vào đâu, có Mã ngành là 855909</w:t>
      </w:r>
      <w:r w:rsidR="00596D75">
        <w:rPr>
          <w:sz w:val="28"/>
          <w:szCs w:val="28"/>
        </w:rPr>
        <w:t>; quy định về</w:t>
      </w:r>
      <w:r w:rsidR="00A96915">
        <w:rPr>
          <w:sz w:val="28"/>
          <w:szCs w:val="28"/>
        </w:rPr>
        <w:t xml:space="preserve"> dịch vụ hỗ trợ giáo dục có Mã ngành 8560</w:t>
      </w:r>
      <w:r w:rsidR="00596D75">
        <w:rPr>
          <w:sz w:val="28"/>
          <w:szCs w:val="28"/>
        </w:rPr>
        <w:t xml:space="preserve"> thì dịch vụ hỗ trợ giáo dục </w:t>
      </w:r>
      <w:r w:rsidR="00D14916">
        <w:rPr>
          <w:sz w:val="28"/>
          <w:szCs w:val="28"/>
        </w:rPr>
        <w:t>gồm</w:t>
      </w:r>
      <w:r w:rsidR="0079154C">
        <w:rPr>
          <w:sz w:val="28"/>
          <w:szCs w:val="28"/>
        </w:rPr>
        <w:t>:</w:t>
      </w:r>
      <w:r w:rsidR="00D14916">
        <w:rPr>
          <w:sz w:val="28"/>
          <w:szCs w:val="28"/>
        </w:rPr>
        <w:t xml:space="preserve"> việc cung cấp các dịch vụ giáo dục nhưng không phải là dịch vụ giảng dạy </w:t>
      </w:r>
      <w:r w:rsidR="00E925A7">
        <w:rPr>
          <w:sz w:val="28"/>
          <w:szCs w:val="28"/>
        </w:rPr>
        <w:t xml:space="preserve">để hỗ trợ </w:t>
      </w:r>
      <w:r w:rsidR="00026FAD">
        <w:rPr>
          <w:sz w:val="28"/>
          <w:szCs w:val="28"/>
        </w:rPr>
        <w:t>về hệ thống hoặc phương pháp giáo dục, cụ thể như: Tư vấn giáo dục; Dịch vụ hướng dẫn giáo dục; Dịch vụ kiểm định chất lượng giáo dục; Tổ chức các chương trình trao đổi sinh viên…</w:t>
      </w:r>
      <w:r w:rsidR="005044C7">
        <w:rPr>
          <w:sz w:val="28"/>
          <w:szCs w:val="28"/>
        </w:rPr>
        <w:t xml:space="preserve"> Do đó, v</w:t>
      </w:r>
      <w:r w:rsidR="00A96915">
        <w:rPr>
          <w:sz w:val="28"/>
          <w:szCs w:val="28"/>
        </w:rPr>
        <w:t>iệc quy định nội dung thu này tại Nghị quyết số 24/2021/NQ-HĐND là dịch vụ hỗ trợ giáo dục là chưa phù hợp với quy định của pháp luật.</w:t>
      </w:r>
    </w:p>
    <w:p w14:paraId="1EBB65D2" w14:textId="77777777" w:rsidR="00A96915" w:rsidRPr="00F21AE2" w:rsidRDefault="00A96915" w:rsidP="004453CE">
      <w:pPr>
        <w:pStyle w:val="Binhthng1"/>
        <w:spacing w:before="120" w:after="120"/>
        <w:ind w:firstLine="720"/>
        <w:jc w:val="both"/>
        <w:rPr>
          <w:sz w:val="28"/>
          <w:szCs w:val="28"/>
        </w:rPr>
      </w:pPr>
    </w:p>
    <w:p w14:paraId="715F9963" w14:textId="77777777" w:rsidR="00A51048" w:rsidRPr="00F21AE2" w:rsidRDefault="00A51048" w:rsidP="004453CE">
      <w:pPr>
        <w:pStyle w:val="Binhthng1"/>
        <w:spacing w:before="120" w:after="120"/>
        <w:ind w:firstLine="720"/>
        <w:jc w:val="both"/>
        <w:rPr>
          <w:sz w:val="28"/>
          <w:szCs w:val="28"/>
        </w:rPr>
      </w:pPr>
    </w:p>
    <w:p w14:paraId="7B8C6C96" w14:textId="77777777" w:rsidR="00A51048" w:rsidRPr="00F21AE2" w:rsidRDefault="00A51048" w:rsidP="004453CE">
      <w:pPr>
        <w:pStyle w:val="Binhthng1"/>
        <w:spacing w:before="120" w:after="120"/>
        <w:ind w:firstLine="720"/>
        <w:jc w:val="both"/>
        <w:rPr>
          <w:sz w:val="28"/>
          <w:szCs w:val="28"/>
        </w:rPr>
      </w:pPr>
    </w:p>
    <w:p w14:paraId="552EBFD6" w14:textId="77777777" w:rsidR="00A51048" w:rsidRPr="00F21AE2" w:rsidRDefault="00A51048" w:rsidP="004453CE">
      <w:pPr>
        <w:pStyle w:val="Binhthng1"/>
        <w:spacing w:before="120" w:after="120"/>
        <w:ind w:firstLine="720"/>
        <w:jc w:val="both"/>
        <w:rPr>
          <w:sz w:val="28"/>
          <w:szCs w:val="28"/>
        </w:rPr>
      </w:pPr>
    </w:p>
    <w:sectPr w:rsidR="00A51048" w:rsidRPr="00F21AE2" w:rsidSect="00A51048">
      <w:pgSz w:w="11907" w:h="16840"/>
      <w:pgMar w:top="1134" w:right="851" w:bottom="90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AA821" w14:textId="77777777" w:rsidR="00BD7E3F" w:rsidRDefault="00BD7E3F" w:rsidP="007B5276">
      <w:pPr>
        <w:spacing w:line="240" w:lineRule="auto"/>
        <w:ind w:left="0" w:hanging="2"/>
      </w:pPr>
      <w:r>
        <w:separator/>
      </w:r>
    </w:p>
  </w:endnote>
  <w:endnote w:type="continuationSeparator" w:id="0">
    <w:p w14:paraId="5ED57DF2" w14:textId="77777777" w:rsidR="00BD7E3F" w:rsidRDefault="00BD7E3F" w:rsidP="007B52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98E41" w14:textId="77777777" w:rsidR="00CD0F97" w:rsidRDefault="00CD0F97" w:rsidP="00CD0F97">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28FCE" w14:textId="77777777" w:rsidR="00CD0F97" w:rsidRDefault="00CD0F97" w:rsidP="00CD0F97">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AD7DC" w14:textId="77777777" w:rsidR="00CD0F97" w:rsidRDefault="00CD0F97" w:rsidP="00CD0F97">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60E1D" w14:textId="77777777" w:rsidR="00BD7E3F" w:rsidRDefault="00BD7E3F" w:rsidP="007B5276">
      <w:pPr>
        <w:spacing w:line="240" w:lineRule="auto"/>
        <w:ind w:left="0" w:hanging="2"/>
      </w:pPr>
      <w:r>
        <w:separator/>
      </w:r>
    </w:p>
  </w:footnote>
  <w:footnote w:type="continuationSeparator" w:id="0">
    <w:p w14:paraId="207C5964" w14:textId="77777777" w:rsidR="00BD7E3F" w:rsidRDefault="00BD7E3F" w:rsidP="007B5276">
      <w:pPr>
        <w:spacing w:line="240" w:lineRule="auto"/>
        <w:ind w:left="0" w:hanging="2"/>
      </w:pPr>
      <w:r>
        <w:continuationSeparator/>
      </w:r>
    </w:p>
  </w:footnote>
  <w:footnote w:id="1">
    <w:p w14:paraId="71FF3F19" w14:textId="77777777" w:rsidR="002F650A" w:rsidRPr="00EF33FD" w:rsidRDefault="002F650A" w:rsidP="00DA66AF">
      <w:pPr>
        <w:pStyle w:val="FootnoteText"/>
      </w:pPr>
      <w:r w:rsidRPr="00EF33FD">
        <w:rPr>
          <w:rStyle w:val="FootnoteReference"/>
        </w:rPr>
        <w:footnoteRef/>
      </w:r>
      <w:r w:rsidRPr="00EF33FD">
        <w:t xml:space="preserve"> Nghị định số 81/2021/NĐ-CP ngày </w:t>
      </w:r>
      <w:r w:rsidR="002D79F5" w:rsidRPr="00EF33FD">
        <w:t>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footnote>
  <w:footnote w:id="2">
    <w:p w14:paraId="6824A80D" w14:textId="77777777" w:rsidR="00F6052B" w:rsidRPr="00EF33FD" w:rsidRDefault="00F6052B" w:rsidP="00DA66AF">
      <w:pPr>
        <w:pStyle w:val="FootnoteText"/>
      </w:pPr>
      <w:r w:rsidRPr="00EF33FD">
        <w:rPr>
          <w:rStyle w:val="FootnoteReference"/>
        </w:rPr>
        <w:footnoteRef/>
      </w:r>
      <w:r w:rsidRPr="00EF33FD">
        <w:t xml:space="preserve"> Trang 9 Niên giám thống kê Bến Tre năm 2022.</w:t>
      </w:r>
    </w:p>
  </w:footnote>
  <w:footnote w:id="3">
    <w:p w14:paraId="614FF23B" w14:textId="77777777" w:rsidR="00F6052B" w:rsidRPr="00EF33FD" w:rsidRDefault="00F6052B" w:rsidP="00DA66AF">
      <w:pPr>
        <w:pStyle w:val="FootnoteText"/>
      </w:pPr>
      <w:r w:rsidRPr="00EF33FD">
        <w:rPr>
          <w:rStyle w:val="FootnoteReference"/>
        </w:rPr>
        <w:footnoteRef/>
      </w:r>
      <w:r w:rsidRPr="00EF33FD">
        <w:t xml:space="preserve"> Trang 9 Niên giám thống kê Bến Tre năm 2023.</w:t>
      </w:r>
    </w:p>
  </w:footnote>
  <w:footnote w:id="4">
    <w:p w14:paraId="530CB6C5" w14:textId="77777777" w:rsidR="00F6052B" w:rsidRPr="00EF33FD" w:rsidRDefault="00F6052B" w:rsidP="00DA66AF">
      <w:pPr>
        <w:pStyle w:val="FootnoteText"/>
      </w:pPr>
      <w:r w:rsidRPr="00EF33FD">
        <w:rPr>
          <w:rStyle w:val="FootnoteReference"/>
        </w:rPr>
        <w:footnoteRef/>
      </w:r>
      <w:r w:rsidRPr="00EF33FD">
        <w:t xml:space="preserve"> Thông cáo báo chí tình hình kinh tế - xã hội tỉnh Bến Tre 06 tháng đầu năm 2024</w:t>
      </w:r>
      <w:r w:rsidR="00EF33FD" w:rsidRPr="00EF33FD">
        <w:t>.</w:t>
      </w:r>
    </w:p>
  </w:footnote>
  <w:footnote w:id="5">
    <w:p w14:paraId="29CC8EA4" w14:textId="77777777" w:rsidR="00AA6C54" w:rsidRDefault="00AA6C54" w:rsidP="00AA6C54">
      <w:pPr>
        <w:pStyle w:val="Binhthng1"/>
        <w:pBdr>
          <w:top w:val="nil"/>
          <w:left w:val="nil"/>
          <w:bottom w:val="nil"/>
          <w:right w:val="nil"/>
          <w:between w:val="nil"/>
        </w:pBdr>
        <w:spacing w:before="120" w:after="120"/>
        <w:ind w:left="-1"/>
        <w:jc w:val="both"/>
        <w:rPr>
          <w:color w:val="000000"/>
          <w:sz w:val="22"/>
          <w:szCs w:val="22"/>
        </w:rPr>
      </w:pPr>
      <w:r>
        <w:rPr>
          <w:rStyle w:val="FootnoteReference"/>
        </w:rPr>
        <w:footnoteRef/>
      </w:r>
      <w:r w:rsidRPr="00861FDE">
        <w:rPr>
          <w:color w:val="000000"/>
          <w:sz w:val="22"/>
          <w:szCs w:val="22"/>
        </w:rPr>
        <w:t>Tiền lương trung bình được lấy từ trung bình hệ số lương của giáo viên mầm non hạng III, có 10 bậc, hệ số lương từ 2,1 đến 4,98, lấy trung bình bậc 5 là hệ số lương 3,34, mức lương 7.815.600 đồng.</w:t>
      </w:r>
      <w:r>
        <w:rPr>
          <w:color w:val="000000"/>
          <w:sz w:val="22"/>
          <w:szCs w:val="22"/>
        </w:rPr>
        <w:t xml:space="preserve"> </w:t>
      </w:r>
    </w:p>
  </w:footnote>
  <w:footnote w:id="6">
    <w:p w14:paraId="2788F2B6" w14:textId="77777777" w:rsidR="00AA6C54" w:rsidRDefault="00AA6C54" w:rsidP="00AA6C54">
      <w:pPr>
        <w:pStyle w:val="Binhthng1"/>
        <w:widowControl w:val="0"/>
        <w:pBdr>
          <w:top w:val="nil"/>
          <w:left w:val="nil"/>
          <w:bottom w:val="nil"/>
          <w:right w:val="nil"/>
          <w:between w:val="nil"/>
        </w:pBdr>
        <w:spacing w:line="276" w:lineRule="auto"/>
        <w:jc w:val="both"/>
        <w:rPr>
          <w:color w:val="000000"/>
          <w:sz w:val="22"/>
          <w:szCs w:val="22"/>
        </w:rPr>
      </w:pPr>
      <w:r>
        <w:rPr>
          <w:rStyle w:val="FootnoteReference"/>
        </w:rPr>
        <w:footnoteRef/>
      </w:r>
      <w:r w:rsidRPr="00861FDE">
        <w:rPr>
          <w:color w:val="000000"/>
          <w:sz w:val="22"/>
          <w:szCs w:val="22"/>
        </w:rPr>
        <w:t>Theo quy định tại</w:t>
      </w:r>
      <w:r>
        <w:rPr>
          <w:color w:val="000000"/>
          <w:sz w:val="22"/>
          <w:szCs w:val="22"/>
        </w:rPr>
        <w:t xml:space="preserve"> điểm b</w:t>
      </w:r>
      <w:r w:rsidRPr="00861FDE">
        <w:rPr>
          <w:color w:val="000000"/>
          <w:sz w:val="22"/>
          <w:szCs w:val="22"/>
        </w:rPr>
        <w:t xml:space="preserve"> khoản 1 Điều 55 Nghị định số 145/2020/NĐ-CP ngày 14/12/2020 của Chính phủ quy định chi tiết và hướng dẫn thi hành một số điều của Bộ Luật lao động về điều ki</w:t>
      </w:r>
      <w:r>
        <w:rPr>
          <w:color w:val="000000"/>
          <w:sz w:val="22"/>
          <w:szCs w:val="22"/>
        </w:rPr>
        <w:t xml:space="preserve">ện lao động và quan hệ lao động: </w:t>
      </w:r>
    </w:p>
    <w:p w14:paraId="4BD3EE62" w14:textId="77777777" w:rsidR="00AA6C54" w:rsidRPr="00546B5F" w:rsidRDefault="00AA6C54" w:rsidP="00AA6C54">
      <w:pPr>
        <w:pStyle w:val="Binhthng1"/>
        <w:widowControl w:val="0"/>
        <w:pBdr>
          <w:top w:val="nil"/>
          <w:left w:val="nil"/>
          <w:bottom w:val="nil"/>
          <w:right w:val="nil"/>
          <w:between w:val="nil"/>
        </w:pBdr>
        <w:spacing w:line="276" w:lineRule="auto"/>
        <w:jc w:val="both"/>
        <w:rPr>
          <w:i/>
          <w:color w:val="000000"/>
          <w:sz w:val="22"/>
          <w:szCs w:val="22"/>
        </w:rPr>
      </w:pPr>
      <w:r>
        <w:rPr>
          <w:color w:val="000000"/>
          <w:sz w:val="22"/>
          <w:szCs w:val="22"/>
        </w:rPr>
        <w:t>“</w:t>
      </w:r>
      <w:r w:rsidRPr="00546B5F">
        <w:rPr>
          <w:i/>
          <w:color w:val="000000"/>
          <w:sz w:val="22"/>
          <w:szCs w:val="22"/>
        </w:rPr>
        <w:t>Điều 55. Tiền lương làm thêm giờ</w:t>
      </w:r>
    </w:p>
    <w:p w14:paraId="1C6CFD45" w14:textId="77777777" w:rsidR="00AA6C54" w:rsidRPr="00546B5F" w:rsidRDefault="00AA6C54" w:rsidP="00AA6C54">
      <w:pPr>
        <w:pStyle w:val="Binhthng1"/>
        <w:widowControl w:val="0"/>
        <w:pBdr>
          <w:top w:val="nil"/>
          <w:left w:val="nil"/>
          <w:bottom w:val="nil"/>
          <w:right w:val="nil"/>
          <w:between w:val="nil"/>
        </w:pBdr>
        <w:spacing w:line="276" w:lineRule="auto"/>
        <w:jc w:val="both"/>
        <w:rPr>
          <w:i/>
          <w:color w:val="000000"/>
          <w:sz w:val="22"/>
          <w:szCs w:val="22"/>
        </w:rPr>
      </w:pPr>
      <w:r w:rsidRPr="00546B5F">
        <w:rPr>
          <w:i/>
          <w:color w:val="000000"/>
          <w:sz w:val="22"/>
          <w:szCs w:val="22"/>
        </w:rPr>
        <w:t>…</w:t>
      </w:r>
    </w:p>
    <w:p w14:paraId="1C3D077A" w14:textId="77777777" w:rsidR="00AA6C54" w:rsidRDefault="00AA6C54" w:rsidP="00AA6C54">
      <w:pPr>
        <w:pStyle w:val="Binhthng1"/>
        <w:widowControl w:val="0"/>
        <w:pBdr>
          <w:top w:val="nil"/>
          <w:left w:val="nil"/>
          <w:bottom w:val="nil"/>
          <w:right w:val="nil"/>
          <w:between w:val="nil"/>
        </w:pBdr>
        <w:spacing w:line="276" w:lineRule="auto"/>
        <w:jc w:val="both"/>
        <w:rPr>
          <w:color w:val="000000"/>
          <w:sz w:val="22"/>
          <w:szCs w:val="22"/>
        </w:rPr>
      </w:pPr>
      <w:r w:rsidRPr="00546B5F">
        <w:rPr>
          <w:i/>
          <w:color w:val="000000"/>
          <w:sz w:val="22"/>
          <w:szCs w:val="22"/>
        </w:rPr>
        <w:t>b)Mức ít nhất bằng 150% so với tiền lương giờ thực trả của công việc đang làm vào ngày làm việc bình thường, áp dụng đối với giờ làm thêm vào ngày thường; mức ít nhất bằng 200% so với tiền lương giờ thực trả của công việc đang làm vào ngày làm việc bình thường, áp dụng đối với giờ làm thêm vào ngày nghỉ hằng tuần; mức ít nhất bằng 300% so với tiền lương giờ thực trả của công việc đang làm vào ngày làm việc bình thường, áp dụng đối với giờ làm thêm vào ngày nghỉ lễ, tết, ngày nghỉ có hưởng lương, chưa kể tiền lương của ngày nghỉ lễ, tết, ngày nghỉ có hưởng lương đối với người lao động hưởng lương ngày”.</w:t>
      </w:r>
    </w:p>
  </w:footnote>
  <w:footnote w:id="7">
    <w:p w14:paraId="77B8C623" w14:textId="19F259EC" w:rsidR="006B7FAC" w:rsidRPr="00DA66AF" w:rsidRDefault="006B7FAC" w:rsidP="00DA66AF">
      <w:pPr>
        <w:pStyle w:val="FootnoteText"/>
      </w:pPr>
      <w:r w:rsidRPr="00DA66AF">
        <w:rPr>
          <w:rStyle w:val="FootnoteReference"/>
        </w:rPr>
        <w:footnoteRef/>
      </w:r>
      <w:r w:rsidRPr="00DA66AF">
        <w:t xml:space="preserve"> Quyết định số 2195/QĐ-BGDĐT ngày 10 tháng 8 năm 2022 của Bộ Giáo dục và Đào tạo về việc phê duyệt hướng dẫn công tác tổ chức bữa ăn học đường kết hợp tăng cường hoạt động thể lực cho trẻ em, học sinh trong các cơ sở giáo dục mầm non và tiểu học.</w:t>
      </w:r>
    </w:p>
  </w:footnote>
  <w:footnote w:id="8">
    <w:p w14:paraId="6C548AC4" w14:textId="77777777" w:rsidR="00A51048" w:rsidRDefault="008A160C" w:rsidP="00F6052B">
      <w:pPr>
        <w:pStyle w:val="Binhthng1"/>
        <w:pBdr>
          <w:top w:val="nil"/>
          <w:left w:val="nil"/>
          <w:bottom w:val="nil"/>
          <w:right w:val="nil"/>
          <w:between w:val="nil"/>
        </w:pBdr>
        <w:spacing w:before="120" w:after="120"/>
        <w:ind w:left="-1"/>
        <w:jc w:val="both"/>
        <w:rPr>
          <w:color w:val="000000"/>
          <w:sz w:val="22"/>
          <w:szCs w:val="22"/>
        </w:rPr>
      </w:pPr>
      <w:r>
        <w:rPr>
          <w:rStyle w:val="FootnoteReference"/>
        </w:rPr>
        <w:footnoteRef/>
      </w:r>
      <w:r w:rsidR="00F6052B" w:rsidRPr="00861FDE">
        <w:rPr>
          <w:color w:val="000000"/>
          <w:sz w:val="22"/>
          <w:szCs w:val="22"/>
        </w:rPr>
        <w:t>Tiền lương trung bình được lấy từ trung bình hệ số lương của giáo viên mầm non hạng III, có 10 bậc, hệ số lương từ 2,1 đến 4,98, lấy trung bình bậc 5 là hệ số lương 3,34, mức lương 7.815.600 đồng.</w:t>
      </w:r>
      <w:r w:rsidR="00F6052B">
        <w:rPr>
          <w:color w:val="000000"/>
          <w:sz w:val="22"/>
          <w:szCs w:val="22"/>
        </w:rPr>
        <w:t xml:space="preserve"> </w:t>
      </w:r>
    </w:p>
  </w:footnote>
  <w:footnote w:id="9">
    <w:p w14:paraId="025C6AEE" w14:textId="77777777" w:rsidR="00A51048" w:rsidRDefault="008A160C" w:rsidP="00310906">
      <w:pPr>
        <w:pStyle w:val="Binhthng1"/>
        <w:widowControl w:val="0"/>
        <w:pBdr>
          <w:top w:val="nil"/>
          <w:left w:val="nil"/>
          <w:bottom w:val="nil"/>
          <w:right w:val="nil"/>
          <w:between w:val="nil"/>
        </w:pBdr>
        <w:spacing w:line="276" w:lineRule="auto"/>
        <w:jc w:val="both"/>
        <w:rPr>
          <w:color w:val="000000"/>
          <w:sz w:val="22"/>
          <w:szCs w:val="22"/>
        </w:rPr>
      </w:pPr>
      <w:r>
        <w:rPr>
          <w:rStyle w:val="FootnoteReference"/>
        </w:rPr>
        <w:footnoteRef/>
      </w:r>
      <w:r w:rsidR="00F6052B" w:rsidRPr="00861FDE">
        <w:rPr>
          <w:color w:val="000000"/>
          <w:sz w:val="22"/>
          <w:szCs w:val="22"/>
        </w:rPr>
        <w:t>Theo quy định tại</w:t>
      </w:r>
      <w:r w:rsidR="00096796">
        <w:rPr>
          <w:color w:val="000000"/>
          <w:sz w:val="22"/>
          <w:szCs w:val="22"/>
        </w:rPr>
        <w:t xml:space="preserve"> điểm b</w:t>
      </w:r>
      <w:r w:rsidR="00F6052B" w:rsidRPr="00861FDE">
        <w:rPr>
          <w:color w:val="000000"/>
          <w:sz w:val="22"/>
          <w:szCs w:val="22"/>
        </w:rPr>
        <w:t xml:space="preserve"> khoản 1 Điều 55 Nghị định số 145/2020/NĐ-CP ngày 14/12/2020 của Chính phủ quy định chi tiết và hướng dẫn thi hành một số điều của Bộ Luật lao động về điều ki</w:t>
      </w:r>
      <w:r w:rsidR="00096796">
        <w:rPr>
          <w:color w:val="000000"/>
          <w:sz w:val="22"/>
          <w:szCs w:val="22"/>
        </w:rPr>
        <w:t xml:space="preserve">ện lao động và quan hệ lao động: </w:t>
      </w:r>
    </w:p>
    <w:p w14:paraId="2E7EEB54" w14:textId="77777777" w:rsidR="00096796" w:rsidRPr="00546B5F" w:rsidRDefault="00096796" w:rsidP="00310906">
      <w:pPr>
        <w:pStyle w:val="Binhthng1"/>
        <w:widowControl w:val="0"/>
        <w:pBdr>
          <w:top w:val="nil"/>
          <w:left w:val="nil"/>
          <w:bottom w:val="nil"/>
          <w:right w:val="nil"/>
          <w:between w:val="nil"/>
        </w:pBdr>
        <w:spacing w:line="276" w:lineRule="auto"/>
        <w:jc w:val="both"/>
        <w:rPr>
          <w:i/>
          <w:color w:val="000000"/>
          <w:sz w:val="22"/>
          <w:szCs w:val="22"/>
        </w:rPr>
      </w:pPr>
      <w:r>
        <w:rPr>
          <w:color w:val="000000"/>
          <w:sz w:val="22"/>
          <w:szCs w:val="22"/>
        </w:rPr>
        <w:t>“</w:t>
      </w:r>
      <w:r w:rsidRPr="00546B5F">
        <w:rPr>
          <w:i/>
          <w:color w:val="000000"/>
          <w:sz w:val="22"/>
          <w:szCs w:val="22"/>
        </w:rPr>
        <w:t>Điều 55. Tiền lương làm thêm giờ</w:t>
      </w:r>
    </w:p>
    <w:p w14:paraId="5616B834" w14:textId="77777777" w:rsidR="00096796" w:rsidRPr="00546B5F" w:rsidRDefault="00096796" w:rsidP="00310906">
      <w:pPr>
        <w:pStyle w:val="Binhthng1"/>
        <w:widowControl w:val="0"/>
        <w:pBdr>
          <w:top w:val="nil"/>
          <w:left w:val="nil"/>
          <w:bottom w:val="nil"/>
          <w:right w:val="nil"/>
          <w:between w:val="nil"/>
        </w:pBdr>
        <w:spacing w:line="276" w:lineRule="auto"/>
        <w:jc w:val="both"/>
        <w:rPr>
          <w:i/>
          <w:color w:val="000000"/>
          <w:sz w:val="22"/>
          <w:szCs w:val="22"/>
        </w:rPr>
      </w:pPr>
      <w:r w:rsidRPr="00546B5F">
        <w:rPr>
          <w:i/>
          <w:color w:val="000000"/>
          <w:sz w:val="22"/>
          <w:szCs w:val="22"/>
        </w:rPr>
        <w:t>…</w:t>
      </w:r>
    </w:p>
    <w:p w14:paraId="40A586B2" w14:textId="77777777" w:rsidR="00096796" w:rsidRDefault="00096796" w:rsidP="00310906">
      <w:pPr>
        <w:pStyle w:val="Binhthng1"/>
        <w:widowControl w:val="0"/>
        <w:pBdr>
          <w:top w:val="nil"/>
          <w:left w:val="nil"/>
          <w:bottom w:val="nil"/>
          <w:right w:val="nil"/>
          <w:between w:val="nil"/>
        </w:pBdr>
        <w:spacing w:line="276" w:lineRule="auto"/>
        <w:jc w:val="both"/>
        <w:rPr>
          <w:color w:val="000000"/>
          <w:sz w:val="22"/>
          <w:szCs w:val="22"/>
        </w:rPr>
      </w:pPr>
      <w:r w:rsidRPr="00546B5F">
        <w:rPr>
          <w:i/>
          <w:color w:val="000000"/>
          <w:sz w:val="22"/>
          <w:szCs w:val="22"/>
        </w:rPr>
        <w:t>b)Mức ít nhất bằng 150% so với tiền lương giờ thực trả của công việc đang làm vào ngày làm việc bình thường, áp dụng đối với giờ làm thêm vào ngày thường; mức ít nhất bằng 200% so với tiền lương giờ thực trả của công việc đang làm vào ngày làm việc bình thường, áp dụng đối với giờ làm thêm vào ngày nghỉ hằng tuần; mức ít nhất bằng 300% so với tiền lương giờ thực trả của công việc đang làm vào ngày làm việc bình thường, áp dụng đối với giờ làm thêm vào ngày nghỉ lễ, tết, ngày nghỉ có hưởng lương, chưa kể tiền lương của ngày nghỉ lễ, tết, ngày nghỉ có hưởng lương đối với người lao động hưởng lương ngày”.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0EF7" w14:textId="77777777" w:rsidR="00CD0F97" w:rsidRDefault="00252C7B" w:rsidP="00C27C5C">
    <w:pPr>
      <w:pStyle w:val="Header"/>
      <w:framePr w:wrap="around" w:vAnchor="text" w:hAnchor="margin" w:xAlign="center" w:y="1"/>
      <w:ind w:left="0" w:hanging="2"/>
      <w:rPr>
        <w:rStyle w:val="PageNumber"/>
      </w:rPr>
    </w:pPr>
    <w:r>
      <w:rPr>
        <w:rStyle w:val="PageNumber"/>
      </w:rPr>
      <w:fldChar w:fldCharType="begin"/>
    </w:r>
    <w:r w:rsidR="00CD0F97">
      <w:rPr>
        <w:rStyle w:val="PageNumber"/>
      </w:rPr>
      <w:instrText xml:space="preserve">PAGE  </w:instrText>
    </w:r>
    <w:r>
      <w:rPr>
        <w:rStyle w:val="PageNumber"/>
      </w:rPr>
      <w:fldChar w:fldCharType="end"/>
    </w:r>
  </w:p>
  <w:p w14:paraId="1522E556" w14:textId="77777777" w:rsidR="00CD0F97" w:rsidRDefault="00CD0F97" w:rsidP="00CD0F97">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3FD47" w14:textId="77777777" w:rsidR="00A51048" w:rsidRDefault="00A51048">
    <w:pPr>
      <w:pStyle w:val="Binhthng1"/>
      <w:pBdr>
        <w:top w:val="nil"/>
        <w:left w:val="nil"/>
        <w:bottom w:val="nil"/>
        <w:right w:val="nil"/>
        <w:between w:val="nil"/>
      </w:pBdr>
      <w:tabs>
        <w:tab w:val="center" w:pos="4320"/>
        <w:tab w:val="right" w:pos="8640"/>
      </w:tabs>
      <w:jc w:val="center"/>
      <w:rPr>
        <w:color w:val="000000"/>
      </w:rPr>
    </w:pPr>
  </w:p>
  <w:p w14:paraId="34D88701" w14:textId="77777777" w:rsidR="00A51048" w:rsidRDefault="00A51048">
    <w:pPr>
      <w:pStyle w:val="Binhthng1"/>
      <w:pBdr>
        <w:top w:val="nil"/>
        <w:left w:val="nil"/>
        <w:bottom w:val="nil"/>
        <w:right w:val="nil"/>
        <w:between w:val="nil"/>
      </w:pBdr>
      <w:tabs>
        <w:tab w:val="center" w:pos="4320"/>
        <w:tab w:val="right" w:pos="8640"/>
      </w:tabs>
      <w:rPr>
        <w:color w:val="000000"/>
      </w:rPr>
    </w:pPr>
  </w:p>
  <w:p w14:paraId="71BFEEBA" w14:textId="77777777" w:rsidR="00A51048" w:rsidRDefault="00A51048">
    <w:pPr>
      <w:pStyle w:val="Binhthng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175D5" w14:textId="77777777" w:rsidR="00CD0F97" w:rsidRDefault="00CD0F97" w:rsidP="00CD0F97">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AF"/>
    <w:multiLevelType w:val="hybridMultilevel"/>
    <w:tmpl w:val="3F087EFA"/>
    <w:lvl w:ilvl="0" w:tplc="DCD21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48"/>
    <w:rsid w:val="00026FAD"/>
    <w:rsid w:val="000759CF"/>
    <w:rsid w:val="00096796"/>
    <w:rsid w:val="000F59E1"/>
    <w:rsid w:val="00150913"/>
    <w:rsid w:val="001617ED"/>
    <w:rsid w:val="00182BFC"/>
    <w:rsid w:val="00187BAB"/>
    <w:rsid w:val="0020128C"/>
    <w:rsid w:val="002045AB"/>
    <w:rsid w:val="00252C7B"/>
    <w:rsid w:val="002541F5"/>
    <w:rsid w:val="002D79F5"/>
    <w:rsid w:val="002E333E"/>
    <w:rsid w:val="002F650A"/>
    <w:rsid w:val="00310906"/>
    <w:rsid w:val="003547FF"/>
    <w:rsid w:val="0037642F"/>
    <w:rsid w:val="00394B46"/>
    <w:rsid w:val="003A6AC7"/>
    <w:rsid w:val="003B2A99"/>
    <w:rsid w:val="003C40E6"/>
    <w:rsid w:val="003C7C8B"/>
    <w:rsid w:val="00404AA1"/>
    <w:rsid w:val="004109FA"/>
    <w:rsid w:val="00426E68"/>
    <w:rsid w:val="004405AD"/>
    <w:rsid w:val="004440AF"/>
    <w:rsid w:val="004453CE"/>
    <w:rsid w:val="00467BD1"/>
    <w:rsid w:val="00487586"/>
    <w:rsid w:val="004A7F45"/>
    <w:rsid w:val="004D6762"/>
    <w:rsid w:val="004F7C4B"/>
    <w:rsid w:val="005044C7"/>
    <w:rsid w:val="00511C45"/>
    <w:rsid w:val="00517F24"/>
    <w:rsid w:val="00546B5F"/>
    <w:rsid w:val="00553D79"/>
    <w:rsid w:val="00555A80"/>
    <w:rsid w:val="005622E5"/>
    <w:rsid w:val="00596D75"/>
    <w:rsid w:val="005A4868"/>
    <w:rsid w:val="00652797"/>
    <w:rsid w:val="00653911"/>
    <w:rsid w:val="00667E44"/>
    <w:rsid w:val="006B7FAC"/>
    <w:rsid w:val="006D7BBB"/>
    <w:rsid w:val="006F5FCE"/>
    <w:rsid w:val="00700C2E"/>
    <w:rsid w:val="00706560"/>
    <w:rsid w:val="00715651"/>
    <w:rsid w:val="00733D22"/>
    <w:rsid w:val="00773AED"/>
    <w:rsid w:val="00785F6B"/>
    <w:rsid w:val="0079154C"/>
    <w:rsid w:val="007B5276"/>
    <w:rsid w:val="007D4824"/>
    <w:rsid w:val="008226A2"/>
    <w:rsid w:val="00861FDE"/>
    <w:rsid w:val="00867DD5"/>
    <w:rsid w:val="0089115E"/>
    <w:rsid w:val="008A160C"/>
    <w:rsid w:val="008B637D"/>
    <w:rsid w:val="008C1E05"/>
    <w:rsid w:val="008E5453"/>
    <w:rsid w:val="008F2C2B"/>
    <w:rsid w:val="009221AC"/>
    <w:rsid w:val="0092425C"/>
    <w:rsid w:val="009346FE"/>
    <w:rsid w:val="009422AF"/>
    <w:rsid w:val="0095744A"/>
    <w:rsid w:val="009A0DF7"/>
    <w:rsid w:val="009E45E7"/>
    <w:rsid w:val="00A0494C"/>
    <w:rsid w:val="00A06A79"/>
    <w:rsid w:val="00A44A2F"/>
    <w:rsid w:val="00A51048"/>
    <w:rsid w:val="00A63A07"/>
    <w:rsid w:val="00A96915"/>
    <w:rsid w:val="00AA6C54"/>
    <w:rsid w:val="00AC1BDE"/>
    <w:rsid w:val="00B24B0E"/>
    <w:rsid w:val="00B32B63"/>
    <w:rsid w:val="00B4724B"/>
    <w:rsid w:val="00B81A03"/>
    <w:rsid w:val="00BB46F4"/>
    <w:rsid w:val="00BB4C21"/>
    <w:rsid w:val="00BB57A7"/>
    <w:rsid w:val="00BC09A7"/>
    <w:rsid w:val="00BC7CDA"/>
    <w:rsid w:val="00BD0516"/>
    <w:rsid w:val="00BD7E3F"/>
    <w:rsid w:val="00BE3819"/>
    <w:rsid w:val="00BE6CE5"/>
    <w:rsid w:val="00BF00C2"/>
    <w:rsid w:val="00BF4D97"/>
    <w:rsid w:val="00C27C5C"/>
    <w:rsid w:val="00C34C2D"/>
    <w:rsid w:val="00C50946"/>
    <w:rsid w:val="00CB4767"/>
    <w:rsid w:val="00CC225A"/>
    <w:rsid w:val="00CC5325"/>
    <w:rsid w:val="00CD0F97"/>
    <w:rsid w:val="00CD2CDF"/>
    <w:rsid w:val="00CF3736"/>
    <w:rsid w:val="00D06C9D"/>
    <w:rsid w:val="00D14916"/>
    <w:rsid w:val="00D41532"/>
    <w:rsid w:val="00D66940"/>
    <w:rsid w:val="00D67241"/>
    <w:rsid w:val="00D705CA"/>
    <w:rsid w:val="00D76847"/>
    <w:rsid w:val="00D92CFC"/>
    <w:rsid w:val="00DA66AF"/>
    <w:rsid w:val="00DC64A6"/>
    <w:rsid w:val="00DD0BA8"/>
    <w:rsid w:val="00E157BE"/>
    <w:rsid w:val="00E710BF"/>
    <w:rsid w:val="00E925A7"/>
    <w:rsid w:val="00EE2ACE"/>
    <w:rsid w:val="00EF33FD"/>
    <w:rsid w:val="00F0204D"/>
    <w:rsid w:val="00F049B3"/>
    <w:rsid w:val="00F21AE2"/>
    <w:rsid w:val="00F6052B"/>
    <w:rsid w:val="00FA38A4"/>
    <w:rsid w:val="00FC7F96"/>
    <w:rsid w:val="00FE3F11"/>
    <w:rsid w:val="00FE5094"/>
    <w:rsid w:val="00FF04B2"/>
    <w:rsid w:val="00FF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inhthng1"/>
    <w:autoRedefine/>
    <w:hidden/>
    <w:qFormat/>
    <w:rsid w:val="00A51048"/>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Binhthng1"/>
    <w:next w:val="Binhthng1"/>
    <w:rsid w:val="00A51048"/>
    <w:pPr>
      <w:keepNext/>
      <w:keepLines/>
      <w:spacing w:before="480" w:after="120"/>
      <w:outlineLvl w:val="0"/>
    </w:pPr>
    <w:rPr>
      <w:b/>
      <w:sz w:val="48"/>
      <w:szCs w:val="48"/>
    </w:rPr>
  </w:style>
  <w:style w:type="paragraph" w:styleId="Heading2">
    <w:name w:val="heading 2"/>
    <w:basedOn w:val="Binhthng1"/>
    <w:next w:val="Binhthng1"/>
    <w:rsid w:val="00A51048"/>
    <w:pPr>
      <w:keepNext/>
      <w:keepLines/>
      <w:spacing w:before="360" w:after="80"/>
      <w:outlineLvl w:val="1"/>
    </w:pPr>
    <w:rPr>
      <w:b/>
      <w:sz w:val="36"/>
      <w:szCs w:val="36"/>
    </w:rPr>
  </w:style>
  <w:style w:type="paragraph" w:styleId="Heading3">
    <w:name w:val="heading 3"/>
    <w:basedOn w:val="Binhthng1"/>
    <w:next w:val="Binhthng1"/>
    <w:rsid w:val="00A51048"/>
    <w:pPr>
      <w:keepNext/>
      <w:keepLines/>
      <w:spacing w:before="280" w:after="80"/>
      <w:outlineLvl w:val="2"/>
    </w:pPr>
    <w:rPr>
      <w:b/>
      <w:sz w:val="28"/>
      <w:szCs w:val="28"/>
    </w:rPr>
  </w:style>
  <w:style w:type="paragraph" w:styleId="Heading4">
    <w:name w:val="heading 4"/>
    <w:basedOn w:val="Binhthng1"/>
    <w:next w:val="Binhthng1"/>
    <w:rsid w:val="00A51048"/>
    <w:pPr>
      <w:keepNext/>
      <w:keepLines/>
      <w:spacing w:before="240" w:after="40"/>
      <w:outlineLvl w:val="3"/>
    </w:pPr>
    <w:rPr>
      <w:b/>
    </w:rPr>
  </w:style>
  <w:style w:type="paragraph" w:styleId="Heading5">
    <w:name w:val="heading 5"/>
    <w:basedOn w:val="Binhthng1"/>
    <w:next w:val="Binhthng1"/>
    <w:rsid w:val="00A51048"/>
    <w:pPr>
      <w:keepNext/>
      <w:keepLines/>
      <w:spacing w:before="220" w:after="40"/>
      <w:outlineLvl w:val="4"/>
    </w:pPr>
    <w:rPr>
      <w:b/>
      <w:sz w:val="22"/>
      <w:szCs w:val="22"/>
    </w:rPr>
  </w:style>
  <w:style w:type="paragraph" w:styleId="Heading6">
    <w:name w:val="heading 6"/>
    <w:basedOn w:val="Binhthng1"/>
    <w:next w:val="Binhthng1"/>
    <w:rsid w:val="00A51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 thường1"/>
    <w:rsid w:val="00A51048"/>
  </w:style>
  <w:style w:type="paragraph" w:styleId="Title">
    <w:name w:val="Title"/>
    <w:basedOn w:val="Binhthng1"/>
    <w:next w:val="Binhthng1"/>
    <w:rsid w:val="00A51048"/>
    <w:pPr>
      <w:keepNext/>
      <w:keepLines/>
      <w:spacing w:before="480" w:after="120"/>
    </w:pPr>
    <w:rPr>
      <w:b/>
      <w:sz w:val="72"/>
      <w:szCs w:val="72"/>
    </w:rPr>
  </w:style>
  <w:style w:type="paragraph" w:styleId="BodyText">
    <w:name w:val="Body Text"/>
    <w:basedOn w:val="Normal"/>
    <w:autoRedefine/>
    <w:hidden/>
    <w:qFormat/>
    <w:rsid w:val="00A51048"/>
    <w:rPr>
      <w:rFonts w:ascii="Arial" w:hAnsi="Arial" w:cs="Arial"/>
      <w:sz w:val="26"/>
    </w:rPr>
  </w:style>
  <w:style w:type="paragraph" w:styleId="BodyTextIndent">
    <w:name w:val="Body Text Indent"/>
    <w:basedOn w:val="Normal"/>
    <w:autoRedefine/>
    <w:hidden/>
    <w:qFormat/>
    <w:rsid w:val="00A51048"/>
    <w:pPr>
      <w:ind w:firstLine="720"/>
    </w:pPr>
    <w:rPr>
      <w:rFonts w:ascii="Arial" w:hAnsi="Arial" w:cs="Arial"/>
    </w:rPr>
  </w:style>
  <w:style w:type="paragraph" w:styleId="Footer">
    <w:name w:val="footer"/>
    <w:basedOn w:val="Normal"/>
    <w:autoRedefine/>
    <w:hidden/>
    <w:qFormat/>
    <w:rsid w:val="00A51048"/>
    <w:pPr>
      <w:tabs>
        <w:tab w:val="center" w:pos="4320"/>
        <w:tab w:val="right" w:pos="8640"/>
      </w:tabs>
    </w:pPr>
  </w:style>
  <w:style w:type="character" w:styleId="PageNumber">
    <w:name w:val="page number"/>
    <w:basedOn w:val="DefaultParagraphFont"/>
    <w:autoRedefine/>
    <w:hidden/>
    <w:qFormat/>
    <w:rsid w:val="00A51048"/>
    <w:rPr>
      <w:w w:val="100"/>
      <w:position w:val="-1"/>
      <w:effect w:val="none"/>
      <w:vertAlign w:val="baseline"/>
      <w:cs w:val="0"/>
      <w:em w:val="none"/>
    </w:rPr>
  </w:style>
  <w:style w:type="paragraph" w:styleId="Header">
    <w:name w:val="header"/>
    <w:basedOn w:val="Normal"/>
    <w:autoRedefine/>
    <w:hidden/>
    <w:qFormat/>
    <w:rsid w:val="00A51048"/>
    <w:pPr>
      <w:tabs>
        <w:tab w:val="center" w:pos="4320"/>
        <w:tab w:val="right" w:pos="8640"/>
      </w:tabs>
    </w:pPr>
  </w:style>
  <w:style w:type="character" w:customStyle="1" w:styleId="FooterChar">
    <w:name w:val="Footer Char"/>
    <w:autoRedefine/>
    <w:hidden/>
    <w:qFormat/>
    <w:rsid w:val="00A51048"/>
    <w:rPr>
      <w:w w:val="100"/>
      <w:position w:val="-1"/>
      <w:sz w:val="24"/>
      <w:szCs w:val="24"/>
      <w:effect w:val="none"/>
      <w:vertAlign w:val="baseline"/>
      <w:cs w:val="0"/>
      <w:em w:val="none"/>
      <w:lang w:val="en-US" w:eastAsia="en-US"/>
    </w:rPr>
  </w:style>
  <w:style w:type="paragraph" w:styleId="NormalWeb">
    <w:name w:val="Normal (Web)"/>
    <w:basedOn w:val="Normal"/>
    <w:autoRedefine/>
    <w:hidden/>
    <w:qFormat/>
    <w:rsid w:val="00A51048"/>
    <w:pPr>
      <w:spacing w:before="100" w:beforeAutospacing="1" w:after="100" w:afterAutospacing="1"/>
    </w:pPr>
  </w:style>
  <w:style w:type="character" w:customStyle="1" w:styleId="HeaderChar">
    <w:name w:val="Header Char"/>
    <w:autoRedefine/>
    <w:hidden/>
    <w:qFormat/>
    <w:rsid w:val="00A51048"/>
    <w:rPr>
      <w:w w:val="100"/>
      <w:position w:val="-1"/>
      <w:sz w:val="24"/>
      <w:szCs w:val="24"/>
      <w:effect w:val="none"/>
      <w:vertAlign w:val="baseline"/>
      <w:cs w:val="0"/>
      <w:em w:val="none"/>
    </w:rPr>
  </w:style>
  <w:style w:type="character" w:customStyle="1" w:styleId="fontstyle01">
    <w:name w:val="fontstyle01"/>
    <w:autoRedefine/>
    <w:hidden/>
    <w:qFormat/>
    <w:rsid w:val="00A51048"/>
    <w:rPr>
      <w:rFonts w:ascii="Times New Roman" w:hAnsi="Times New Roman" w:cs="Times New Roman" w:hint="default"/>
      <w:b/>
      <w:bCs/>
      <w:color w:val="000000"/>
      <w:w w:val="100"/>
      <w:position w:val="-1"/>
      <w:sz w:val="28"/>
      <w:szCs w:val="28"/>
      <w:effect w:val="none"/>
      <w:vertAlign w:val="baseline"/>
      <w:cs w:val="0"/>
      <w:em w:val="none"/>
    </w:rPr>
  </w:style>
  <w:style w:type="character" w:styleId="Hyperlink">
    <w:name w:val="Hyperlink"/>
    <w:autoRedefine/>
    <w:hidden/>
    <w:qFormat/>
    <w:rsid w:val="00A51048"/>
    <w:rPr>
      <w:color w:val="0000FF"/>
      <w:w w:val="100"/>
      <w:position w:val="-1"/>
      <w:u w:val="single"/>
      <w:effect w:val="none"/>
      <w:vertAlign w:val="baseline"/>
      <w:cs w:val="0"/>
      <w:em w:val="none"/>
    </w:rPr>
  </w:style>
  <w:style w:type="paragraph" w:styleId="BalloonText">
    <w:name w:val="Balloon Text"/>
    <w:basedOn w:val="Normal"/>
    <w:autoRedefine/>
    <w:hidden/>
    <w:qFormat/>
    <w:rsid w:val="00A51048"/>
    <w:rPr>
      <w:rFonts w:ascii="Tahoma" w:hAnsi="Tahoma"/>
      <w:sz w:val="16"/>
      <w:szCs w:val="16"/>
    </w:rPr>
  </w:style>
  <w:style w:type="character" w:customStyle="1" w:styleId="BalloonTextChar">
    <w:name w:val="Balloon Text Char"/>
    <w:autoRedefine/>
    <w:hidden/>
    <w:qFormat/>
    <w:rsid w:val="00A51048"/>
    <w:rPr>
      <w:rFonts w:ascii="Tahoma" w:hAnsi="Tahoma" w:cs="Tahoma"/>
      <w:w w:val="100"/>
      <w:position w:val="-1"/>
      <w:sz w:val="16"/>
      <w:szCs w:val="16"/>
      <w:effect w:val="none"/>
      <w:vertAlign w:val="baseline"/>
      <w:cs w:val="0"/>
      <w:em w:val="none"/>
    </w:rPr>
  </w:style>
  <w:style w:type="table" w:styleId="TableGrid">
    <w:name w:val="Table Grid"/>
    <w:basedOn w:val="TableNormal"/>
    <w:autoRedefine/>
    <w:hidden/>
    <w:qFormat/>
    <w:rsid w:val="00A51048"/>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autoRedefine/>
    <w:hidden/>
    <w:qFormat/>
    <w:rsid w:val="00DA66AF"/>
    <w:pPr>
      <w:ind w:left="0" w:hanging="2"/>
      <w:jc w:val="both"/>
    </w:pPr>
    <w:rPr>
      <w:sz w:val="22"/>
      <w:szCs w:val="22"/>
    </w:rPr>
  </w:style>
  <w:style w:type="character" w:customStyle="1" w:styleId="FootnoteTextChar">
    <w:name w:val="Footnote Text Char"/>
    <w:basedOn w:val="DefaultParagraphFont"/>
    <w:autoRedefine/>
    <w:hidden/>
    <w:qFormat/>
    <w:rsid w:val="00A51048"/>
    <w:rPr>
      <w:w w:val="100"/>
      <w:position w:val="-1"/>
      <w:effect w:val="none"/>
      <w:vertAlign w:val="baseline"/>
      <w:cs w:val="0"/>
      <w:em w:val="none"/>
    </w:rPr>
  </w:style>
  <w:style w:type="character" w:styleId="FootnoteReference">
    <w:name w:val="footnote reference"/>
    <w:autoRedefine/>
    <w:hidden/>
    <w:qFormat/>
    <w:rsid w:val="00A51048"/>
    <w:rPr>
      <w:w w:val="100"/>
      <w:position w:val="-1"/>
      <w:effect w:val="none"/>
      <w:vertAlign w:val="superscript"/>
      <w:cs w:val="0"/>
      <w:em w:val="none"/>
    </w:rPr>
  </w:style>
  <w:style w:type="paragraph" w:styleId="Subtitle">
    <w:name w:val="Subtitle"/>
    <w:basedOn w:val="Normal"/>
    <w:next w:val="Normal"/>
    <w:rsid w:val="00A51048"/>
    <w:pPr>
      <w:keepNext/>
      <w:keepLines/>
      <w:spacing w:before="360" w:after="80"/>
    </w:pPr>
    <w:rPr>
      <w:rFonts w:ascii="Georgia" w:eastAsia="Georgia" w:hAnsi="Georgia" w:cs="Georgia"/>
      <w:i/>
      <w:color w:val="666666"/>
      <w:sz w:val="48"/>
      <w:szCs w:val="48"/>
    </w:rPr>
  </w:style>
  <w:style w:type="table" w:customStyle="1" w:styleId="a">
    <w:basedOn w:val="TableNormal"/>
    <w:rsid w:val="00A5104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51048"/>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inhthng1"/>
    <w:autoRedefine/>
    <w:hidden/>
    <w:qFormat/>
    <w:rsid w:val="00A51048"/>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Binhthng1"/>
    <w:next w:val="Binhthng1"/>
    <w:rsid w:val="00A51048"/>
    <w:pPr>
      <w:keepNext/>
      <w:keepLines/>
      <w:spacing w:before="480" w:after="120"/>
      <w:outlineLvl w:val="0"/>
    </w:pPr>
    <w:rPr>
      <w:b/>
      <w:sz w:val="48"/>
      <w:szCs w:val="48"/>
    </w:rPr>
  </w:style>
  <w:style w:type="paragraph" w:styleId="Heading2">
    <w:name w:val="heading 2"/>
    <w:basedOn w:val="Binhthng1"/>
    <w:next w:val="Binhthng1"/>
    <w:rsid w:val="00A51048"/>
    <w:pPr>
      <w:keepNext/>
      <w:keepLines/>
      <w:spacing w:before="360" w:after="80"/>
      <w:outlineLvl w:val="1"/>
    </w:pPr>
    <w:rPr>
      <w:b/>
      <w:sz w:val="36"/>
      <w:szCs w:val="36"/>
    </w:rPr>
  </w:style>
  <w:style w:type="paragraph" w:styleId="Heading3">
    <w:name w:val="heading 3"/>
    <w:basedOn w:val="Binhthng1"/>
    <w:next w:val="Binhthng1"/>
    <w:rsid w:val="00A51048"/>
    <w:pPr>
      <w:keepNext/>
      <w:keepLines/>
      <w:spacing w:before="280" w:after="80"/>
      <w:outlineLvl w:val="2"/>
    </w:pPr>
    <w:rPr>
      <w:b/>
      <w:sz w:val="28"/>
      <w:szCs w:val="28"/>
    </w:rPr>
  </w:style>
  <w:style w:type="paragraph" w:styleId="Heading4">
    <w:name w:val="heading 4"/>
    <w:basedOn w:val="Binhthng1"/>
    <w:next w:val="Binhthng1"/>
    <w:rsid w:val="00A51048"/>
    <w:pPr>
      <w:keepNext/>
      <w:keepLines/>
      <w:spacing w:before="240" w:after="40"/>
      <w:outlineLvl w:val="3"/>
    </w:pPr>
    <w:rPr>
      <w:b/>
    </w:rPr>
  </w:style>
  <w:style w:type="paragraph" w:styleId="Heading5">
    <w:name w:val="heading 5"/>
    <w:basedOn w:val="Binhthng1"/>
    <w:next w:val="Binhthng1"/>
    <w:rsid w:val="00A51048"/>
    <w:pPr>
      <w:keepNext/>
      <w:keepLines/>
      <w:spacing w:before="220" w:after="40"/>
      <w:outlineLvl w:val="4"/>
    </w:pPr>
    <w:rPr>
      <w:b/>
      <w:sz w:val="22"/>
      <w:szCs w:val="22"/>
    </w:rPr>
  </w:style>
  <w:style w:type="paragraph" w:styleId="Heading6">
    <w:name w:val="heading 6"/>
    <w:basedOn w:val="Binhthng1"/>
    <w:next w:val="Binhthng1"/>
    <w:rsid w:val="00A51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nhthng1">
    <w:name w:val="Bình thường1"/>
    <w:rsid w:val="00A51048"/>
  </w:style>
  <w:style w:type="paragraph" w:styleId="Title">
    <w:name w:val="Title"/>
    <w:basedOn w:val="Binhthng1"/>
    <w:next w:val="Binhthng1"/>
    <w:rsid w:val="00A51048"/>
    <w:pPr>
      <w:keepNext/>
      <w:keepLines/>
      <w:spacing w:before="480" w:after="120"/>
    </w:pPr>
    <w:rPr>
      <w:b/>
      <w:sz w:val="72"/>
      <w:szCs w:val="72"/>
    </w:rPr>
  </w:style>
  <w:style w:type="paragraph" w:styleId="BodyText">
    <w:name w:val="Body Text"/>
    <w:basedOn w:val="Normal"/>
    <w:autoRedefine/>
    <w:hidden/>
    <w:qFormat/>
    <w:rsid w:val="00A51048"/>
    <w:rPr>
      <w:rFonts w:ascii="Arial" w:hAnsi="Arial" w:cs="Arial"/>
      <w:sz w:val="26"/>
    </w:rPr>
  </w:style>
  <w:style w:type="paragraph" w:styleId="BodyTextIndent">
    <w:name w:val="Body Text Indent"/>
    <w:basedOn w:val="Normal"/>
    <w:autoRedefine/>
    <w:hidden/>
    <w:qFormat/>
    <w:rsid w:val="00A51048"/>
    <w:pPr>
      <w:ind w:firstLine="720"/>
    </w:pPr>
    <w:rPr>
      <w:rFonts w:ascii="Arial" w:hAnsi="Arial" w:cs="Arial"/>
    </w:rPr>
  </w:style>
  <w:style w:type="paragraph" w:styleId="Footer">
    <w:name w:val="footer"/>
    <w:basedOn w:val="Normal"/>
    <w:autoRedefine/>
    <w:hidden/>
    <w:qFormat/>
    <w:rsid w:val="00A51048"/>
    <w:pPr>
      <w:tabs>
        <w:tab w:val="center" w:pos="4320"/>
        <w:tab w:val="right" w:pos="8640"/>
      </w:tabs>
    </w:pPr>
  </w:style>
  <w:style w:type="character" w:styleId="PageNumber">
    <w:name w:val="page number"/>
    <w:basedOn w:val="DefaultParagraphFont"/>
    <w:autoRedefine/>
    <w:hidden/>
    <w:qFormat/>
    <w:rsid w:val="00A51048"/>
    <w:rPr>
      <w:w w:val="100"/>
      <w:position w:val="-1"/>
      <w:effect w:val="none"/>
      <w:vertAlign w:val="baseline"/>
      <w:cs w:val="0"/>
      <w:em w:val="none"/>
    </w:rPr>
  </w:style>
  <w:style w:type="paragraph" w:styleId="Header">
    <w:name w:val="header"/>
    <w:basedOn w:val="Normal"/>
    <w:autoRedefine/>
    <w:hidden/>
    <w:qFormat/>
    <w:rsid w:val="00A51048"/>
    <w:pPr>
      <w:tabs>
        <w:tab w:val="center" w:pos="4320"/>
        <w:tab w:val="right" w:pos="8640"/>
      </w:tabs>
    </w:pPr>
  </w:style>
  <w:style w:type="character" w:customStyle="1" w:styleId="FooterChar">
    <w:name w:val="Footer Char"/>
    <w:autoRedefine/>
    <w:hidden/>
    <w:qFormat/>
    <w:rsid w:val="00A51048"/>
    <w:rPr>
      <w:w w:val="100"/>
      <w:position w:val="-1"/>
      <w:sz w:val="24"/>
      <w:szCs w:val="24"/>
      <w:effect w:val="none"/>
      <w:vertAlign w:val="baseline"/>
      <w:cs w:val="0"/>
      <w:em w:val="none"/>
      <w:lang w:val="en-US" w:eastAsia="en-US"/>
    </w:rPr>
  </w:style>
  <w:style w:type="paragraph" w:styleId="NormalWeb">
    <w:name w:val="Normal (Web)"/>
    <w:basedOn w:val="Normal"/>
    <w:autoRedefine/>
    <w:hidden/>
    <w:qFormat/>
    <w:rsid w:val="00A51048"/>
    <w:pPr>
      <w:spacing w:before="100" w:beforeAutospacing="1" w:after="100" w:afterAutospacing="1"/>
    </w:pPr>
  </w:style>
  <w:style w:type="character" w:customStyle="1" w:styleId="HeaderChar">
    <w:name w:val="Header Char"/>
    <w:autoRedefine/>
    <w:hidden/>
    <w:qFormat/>
    <w:rsid w:val="00A51048"/>
    <w:rPr>
      <w:w w:val="100"/>
      <w:position w:val="-1"/>
      <w:sz w:val="24"/>
      <w:szCs w:val="24"/>
      <w:effect w:val="none"/>
      <w:vertAlign w:val="baseline"/>
      <w:cs w:val="0"/>
      <w:em w:val="none"/>
    </w:rPr>
  </w:style>
  <w:style w:type="character" w:customStyle="1" w:styleId="fontstyle01">
    <w:name w:val="fontstyle01"/>
    <w:autoRedefine/>
    <w:hidden/>
    <w:qFormat/>
    <w:rsid w:val="00A51048"/>
    <w:rPr>
      <w:rFonts w:ascii="Times New Roman" w:hAnsi="Times New Roman" w:cs="Times New Roman" w:hint="default"/>
      <w:b/>
      <w:bCs/>
      <w:color w:val="000000"/>
      <w:w w:val="100"/>
      <w:position w:val="-1"/>
      <w:sz w:val="28"/>
      <w:szCs w:val="28"/>
      <w:effect w:val="none"/>
      <w:vertAlign w:val="baseline"/>
      <w:cs w:val="0"/>
      <w:em w:val="none"/>
    </w:rPr>
  </w:style>
  <w:style w:type="character" w:styleId="Hyperlink">
    <w:name w:val="Hyperlink"/>
    <w:autoRedefine/>
    <w:hidden/>
    <w:qFormat/>
    <w:rsid w:val="00A51048"/>
    <w:rPr>
      <w:color w:val="0000FF"/>
      <w:w w:val="100"/>
      <w:position w:val="-1"/>
      <w:u w:val="single"/>
      <w:effect w:val="none"/>
      <w:vertAlign w:val="baseline"/>
      <w:cs w:val="0"/>
      <w:em w:val="none"/>
    </w:rPr>
  </w:style>
  <w:style w:type="paragraph" w:styleId="BalloonText">
    <w:name w:val="Balloon Text"/>
    <w:basedOn w:val="Normal"/>
    <w:autoRedefine/>
    <w:hidden/>
    <w:qFormat/>
    <w:rsid w:val="00A51048"/>
    <w:rPr>
      <w:rFonts w:ascii="Tahoma" w:hAnsi="Tahoma"/>
      <w:sz w:val="16"/>
      <w:szCs w:val="16"/>
    </w:rPr>
  </w:style>
  <w:style w:type="character" w:customStyle="1" w:styleId="BalloonTextChar">
    <w:name w:val="Balloon Text Char"/>
    <w:autoRedefine/>
    <w:hidden/>
    <w:qFormat/>
    <w:rsid w:val="00A51048"/>
    <w:rPr>
      <w:rFonts w:ascii="Tahoma" w:hAnsi="Tahoma" w:cs="Tahoma"/>
      <w:w w:val="100"/>
      <w:position w:val="-1"/>
      <w:sz w:val="16"/>
      <w:szCs w:val="16"/>
      <w:effect w:val="none"/>
      <w:vertAlign w:val="baseline"/>
      <w:cs w:val="0"/>
      <w:em w:val="none"/>
    </w:rPr>
  </w:style>
  <w:style w:type="table" w:styleId="TableGrid">
    <w:name w:val="Table Grid"/>
    <w:basedOn w:val="TableNormal"/>
    <w:autoRedefine/>
    <w:hidden/>
    <w:qFormat/>
    <w:rsid w:val="00A51048"/>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autoRedefine/>
    <w:hidden/>
    <w:qFormat/>
    <w:rsid w:val="00DA66AF"/>
    <w:pPr>
      <w:ind w:left="0" w:hanging="2"/>
      <w:jc w:val="both"/>
    </w:pPr>
    <w:rPr>
      <w:sz w:val="22"/>
      <w:szCs w:val="22"/>
    </w:rPr>
  </w:style>
  <w:style w:type="character" w:customStyle="1" w:styleId="FootnoteTextChar">
    <w:name w:val="Footnote Text Char"/>
    <w:basedOn w:val="DefaultParagraphFont"/>
    <w:autoRedefine/>
    <w:hidden/>
    <w:qFormat/>
    <w:rsid w:val="00A51048"/>
    <w:rPr>
      <w:w w:val="100"/>
      <w:position w:val="-1"/>
      <w:effect w:val="none"/>
      <w:vertAlign w:val="baseline"/>
      <w:cs w:val="0"/>
      <w:em w:val="none"/>
    </w:rPr>
  </w:style>
  <w:style w:type="character" w:styleId="FootnoteReference">
    <w:name w:val="footnote reference"/>
    <w:autoRedefine/>
    <w:hidden/>
    <w:qFormat/>
    <w:rsid w:val="00A51048"/>
    <w:rPr>
      <w:w w:val="100"/>
      <w:position w:val="-1"/>
      <w:effect w:val="none"/>
      <w:vertAlign w:val="superscript"/>
      <w:cs w:val="0"/>
      <w:em w:val="none"/>
    </w:rPr>
  </w:style>
  <w:style w:type="paragraph" w:styleId="Subtitle">
    <w:name w:val="Subtitle"/>
    <w:basedOn w:val="Normal"/>
    <w:next w:val="Normal"/>
    <w:rsid w:val="00A51048"/>
    <w:pPr>
      <w:keepNext/>
      <w:keepLines/>
      <w:spacing w:before="360" w:after="80"/>
    </w:pPr>
    <w:rPr>
      <w:rFonts w:ascii="Georgia" w:eastAsia="Georgia" w:hAnsi="Georgia" w:cs="Georgia"/>
      <w:i/>
      <w:color w:val="666666"/>
      <w:sz w:val="48"/>
      <w:szCs w:val="48"/>
    </w:rPr>
  </w:style>
  <w:style w:type="table" w:customStyle="1" w:styleId="a">
    <w:basedOn w:val="TableNormal"/>
    <w:rsid w:val="00A5104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51048"/>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LTFyrmyTeHQtHPsN25m+aZpPg==">CgMxLjA4AHIhMUZxN0xoVmpfYnk1Y2pQelp6cV9iRjFyVHczWjRiTVlP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AFD1E2-3893-48F7-A59E-528BB0181B16}">
  <ds:schemaRefs>
    <ds:schemaRef ds:uri="http://schemas.openxmlformats.org/officeDocument/2006/bibliography"/>
  </ds:schemaRefs>
</ds:datastoreItem>
</file>

<file path=customXml/itemProps3.xml><?xml version="1.0" encoding="utf-8"?>
<ds:datastoreItem xmlns:ds="http://schemas.openxmlformats.org/officeDocument/2006/customXml" ds:itemID="{EDFBB259-9CCF-4043-8FC3-3FD1332A3D5C}"/>
</file>

<file path=customXml/itemProps4.xml><?xml version="1.0" encoding="utf-8"?>
<ds:datastoreItem xmlns:ds="http://schemas.openxmlformats.org/officeDocument/2006/customXml" ds:itemID="{C8237995-654B-4787-952B-19001A5FA236}"/>
</file>

<file path=customXml/itemProps5.xml><?xml version="1.0" encoding="utf-8"?>
<ds:datastoreItem xmlns:ds="http://schemas.openxmlformats.org/officeDocument/2006/customXml" ds:itemID="{0B5E1C37-314C-485B-96A3-67668CBABD76}"/>
</file>

<file path=docProps/app.xml><?xml version="1.0" encoding="utf-8"?>
<Properties xmlns="http://schemas.openxmlformats.org/officeDocument/2006/extended-properties" xmlns:vt="http://schemas.openxmlformats.org/officeDocument/2006/docPropsVTypes">
  <Template>Normal</Template>
  <TotalTime>468</TotalTime>
  <Pages>8</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cvktns</dc:creator>
  <cp:lastModifiedBy>Admin</cp:lastModifiedBy>
  <cp:revision>60</cp:revision>
  <dcterms:created xsi:type="dcterms:W3CDTF">2024-12-23T00:09:00Z</dcterms:created>
  <dcterms:modified xsi:type="dcterms:W3CDTF">2025-01-09T10:07:00Z</dcterms:modified>
</cp:coreProperties>
</file>